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pPr>
      <w:bookmarkStart w:id="0" w:name="_Toc67318035"/>
      <w:r>
        <w:rPr>
          <w:rFonts w:hint="eastAsia"/>
        </w:rPr>
        <w:t>项目概况</w:t>
      </w:r>
      <w:bookmarkEnd w:id="0"/>
    </w:p>
    <w:p>
      <w:pPr>
        <w:ind w:firstLine="480"/>
      </w:pPr>
      <w:r>
        <w:rPr>
          <w:rFonts w:hint="eastAsia"/>
        </w:rPr>
        <w:t>项目名称：</w:t>
      </w:r>
      <w:r>
        <w:rPr>
          <w:rFonts w:hint="eastAsia"/>
          <w:lang w:val="zh-CN"/>
        </w:rPr>
        <w:t>从化区城鳌大道污水管及周边污水支管完善工程</w:t>
      </w:r>
    </w:p>
    <w:p>
      <w:pPr>
        <w:ind w:firstLine="480"/>
        <w:rPr>
          <w:rFonts w:hint="eastAsia" w:eastAsiaTheme="minorEastAsia"/>
          <w:lang w:eastAsia="zh-CN"/>
        </w:rPr>
      </w:pPr>
      <w:r>
        <w:rPr>
          <w:rFonts w:hint="eastAsia"/>
        </w:rPr>
        <w:t>项目地点：从化区</w:t>
      </w:r>
      <w:r>
        <w:rPr>
          <w:rFonts w:hint="eastAsia"/>
          <w:lang w:val="en-US" w:eastAsia="zh-CN"/>
        </w:rPr>
        <w:t>城郊街</w:t>
      </w:r>
    </w:p>
    <w:p>
      <w:pPr>
        <w:ind w:firstLine="480"/>
      </w:pPr>
      <w:r>
        <w:rPr>
          <w:rFonts w:hint="eastAsia"/>
        </w:rPr>
        <w:t>项目性质：改造</w:t>
      </w:r>
    </w:p>
    <w:p>
      <w:pPr>
        <w:ind w:firstLine="480"/>
      </w:pPr>
      <w:r>
        <w:rPr>
          <w:rFonts w:hint="eastAsia"/>
        </w:rPr>
        <w:t>项目服务范围：本工程范围为城鳌大道东段，自大广高速高架至旺城大道，总长度约1km。</w:t>
      </w:r>
    </w:p>
    <w:p>
      <w:pPr>
        <w:ind w:firstLine="480"/>
      </w:pPr>
      <w:r>
        <w:rPr>
          <w:rFonts w:hint="eastAsia"/>
        </w:rPr>
        <w:t>本工程建设内容及规模：</w:t>
      </w:r>
    </w:p>
    <w:p>
      <w:pPr>
        <w:ind w:firstLine="480"/>
      </w:pPr>
      <w:r>
        <w:rPr>
          <w:rFonts w:hint="eastAsia"/>
        </w:rPr>
        <w:t>本项目建设</w:t>
      </w:r>
      <w:r>
        <w:rPr>
          <w:rFonts w:hint="eastAsia"/>
          <w:lang w:val="en-US" w:eastAsia="zh-CN"/>
        </w:rPr>
        <w:t>d</w:t>
      </w:r>
      <w:r>
        <w:rPr>
          <w:rFonts w:hint="eastAsia"/>
        </w:rPr>
        <w:t>600III级钢筋混凝土管约1</w:t>
      </w:r>
      <w:r>
        <w:rPr>
          <w:rFonts w:hint="eastAsia"/>
          <w:lang w:val="en-US" w:eastAsia="zh-CN"/>
        </w:rPr>
        <w:t>243</w:t>
      </w:r>
      <w:r>
        <w:rPr>
          <w:rFonts w:hint="eastAsia"/>
        </w:rPr>
        <w:t>m、</w:t>
      </w:r>
      <w:r>
        <w:rPr>
          <w:rFonts w:hint="eastAsia"/>
          <w:lang w:val="en-US" w:eastAsia="zh-CN"/>
        </w:rPr>
        <w:t>d5</w:t>
      </w:r>
      <w:r>
        <w:rPr>
          <w:rFonts w:hint="eastAsia"/>
        </w:rPr>
        <w:t>00III级钢筋混凝土管约1</w:t>
      </w:r>
      <w:r>
        <w:rPr>
          <w:rFonts w:hint="eastAsia"/>
          <w:lang w:val="en-US" w:eastAsia="zh-CN"/>
        </w:rPr>
        <w:t>502</w:t>
      </w:r>
      <w:r>
        <w:rPr>
          <w:rFonts w:hint="eastAsia"/>
        </w:rPr>
        <w:t>m、DN500球墨铸铁管约</w:t>
      </w:r>
      <w:r>
        <w:rPr>
          <w:rFonts w:hint="eastAsia"/>
          <w:lang w:val="en-US" w:eastAsia="zh-CN"/>
        </w:rPr>
        <w:t>293</w:t>
      </w:r>
      <w:r>
        <w:rPr>
          <w:rFonts w:hint="eastAsia"/>
        </w:rPr>
        <w:t>m、d400II级钢筋混凝土管约</w:t>
      </w:r>
      <w:r>
        <w:rPr>
          <w:rFonts w:hint="eastAsia"/>
          <w:lang w:val="en-US" w:eastAsia="zh-CN"/>
        </w:rPr>
        <w:t>542</w:t>
      </w:r>
      <w:r>
        <w:rPr>
          <w:rFonts w:hint="eastAsia"/>
        </w:rPr>
        <w:t>m、d300II级钢筋混凝土管约</w:t>
      </w:r>
      <w:r>
        <w:rPr>
          <w:rFonts w:hint="eastAsia"/>
          <w:lang w:val="en-US" w:eastAsia="zh-CN"/>
        </w:rPr>
        <w:t>1680</w:t>
      </w:r>
      <w:r>
        <w:rPr>
          <w:rFonts w:hint="eastAsia"/>
        </w:rPr>
        <w:t>m、DN150UPVC接户管约</w:t>
      </w:r>
      <w:r>
        <w:rPr>
          <w:rFonts w:hint="eastAsia"/>
          <w:lang w:val="en-US" w:eastAsia="zh-CN"/>
        </w:rPr>
        <w:t>19</w:t>
      </w:r>
      <w:r>
        <w:rPr>
          <w:rFonts w:hint="eastAsia"/>
        </w:rPr>
        <w:t>m。</w:t>
      </w:r>
    </w:p>
    <w:p>
      <w:pPr>
        <w:pStyle w:val="42"/>
      </w:pPr>
      <w:bookmarkStart w:id="1" w:name="_Toc67318036"/>
      <w:r>
        <w:rPr>
          <w:rFonts w:hint="eastAsia"/>
        </w:rPr>
        <w:t>设计依据</w:t>
      </w:r>
      <w:bookmarkEnd w:id="1"/>
    </w:p>
    <w:p>
      <w:pPr>
        <w:pStyle w:val="43"/>
      </w:pPr>
      <w:bookmarkStart w:id="2" w:name="_Toc67318037"/>
      <w:r>
        <w:rPr>
          <w:rFonts w:hint="eastAsia"/>
        </w:rPr>
        <w:t>方针政策</w:t>
      </w:r>
      <w:bookmarkEnd w:id="2"/>
    </w:p>
    <w:p>
      <w:pPr>
        <w:ind w:firstLine="560"/>
        <w:rPr>
          <w:rFonts w:hint="eastAsia" w:eastAsiaTheme="minorEastAsia"/>
          <w:lang w:eastAsia="zh-CN"/>
        </w:rPr>
      </w:pPr>
      <w:bookmarkStart w:id="3" w:name="_Toc67318038"/>
      <w:r>
        <w:rPr>
          <w:rFonts w:hint="eastAsia"/>
        </w:rPr>
        <w:t>（1）《广州市人民政府办公厅关于进一步深化我市排水建设管理体制机制改革的实施意见》（穗府办函【2017】46号）</w:t>
      </w:r>
      <w:r>
        <w:rPr>
          <w:rFonts w:hint="eastAsia"/>
          <w:lang w:eastAsia="zh-CN"/>
        </w:rPr>
        <w:t>；</w:t>
      </w:r>
    </w:p>
    <w:p>
      <w:pPr>
        <w:ind w:firstLine="560"/>
      </w:pPr>
      <w:r>
        <w:rPr>
          <w:rFonts w:hint="eastAsia"/>
        </w:rPr>
        <w:t>（2）广州市人民政府办公厅关于印发广州市全面剿灭黑臭水体作战方案（2018-2020年）的通知（穗府办函〔2018〕133号）；</w:t>
      </w:r>
    </w:p>
    <w:p>
      <w:pPr>
        <w:ind w:firstLine="560"/>
        <w:rPr>
          <w:rFonts w:hint="eastAsia" w:eastAsiaTheme="minorEastAsia"/>
          <w:lang w:eastAsia="zh-CN"/>
        </w:rPr>
      </w:pPr>
      <w:r>
        <w:rPr>
          <w:rFonts w:hint="eastAsia"/>
        </w:rPr>
        <w:t>（3）广州市水务局关于进一步明确广州市全面剿灭黑臭水体作战方案（2018-2020年）实施项目清单的通知（穗水规计函〔2019〕301号）</w:t>
      </w:r>
      <w:r>
        <w:rPr>
          <w:rFonts w:hint="eastAsia"/>
          <w:lang w:eastAsia="zh-CN"/>
        </w:rPr>
        <w:t>；</w:t>
      </w:r>
    </w:p>
    <w:p>
      <w:pPr>
        <w:ind w:firstLine="560"/>
        <w:rPr>
          <w:rFonts w:hint="eastAsia" w:eastAsiaTheme="minorEastAsia"/>
          <w:lang w:eastAsia="zh-CN"/>
        </w:rPr>
      </w:pPr>
      <w:r>
        <w:rPr>
          <w:rFonts w:hint="eastAsia"/>
        </w:rPr>
        <w:t>（4）广州市水务发展“十四五规划”</w:t>
      </w:r>
      <w:r>
        <w:rPr>
          <w:rFonts w:hint="eastAsia"/>
          <w:lang w:eastAsia="zh-CN"/>
        </w:rPr>
        <w:t>；</w:t>
      </w:r>
    </w:p>
    <w:p>
      <w:pPr>
        <w:ind w:firstLine="560"/>
        <w:rPr>
          <w:rFonts w:hint="eastAsia" w:eastAsiaTheme="minorEastAsia"/>
          <w:lang w:eastAsia="zh-CN"/>
        </w:rPr>
      </w:pPr>
      <w:r>
        <w:rPr>
          <w:rFonts w:hint="eastAsia"/>
        </w:rPr>
        <w:t>（5）《广州市第四号总河长令》（2019年9月）</w:t>
      </w:r>
      <w:r>
        <w:rPr>
          <w:rFonts w:hint="eastAsia"/>
          <w:lang w:eastAsia="zh-CN"/>
        </w:rPr>
        <w:t>；</w:t>
      </w:r>
    </w:p>
    <w:p>
      <w:pPr>
        <w:ind w:firstLine="560"/>
        <w:rPr>
          <w:rFonts w:hint="eastAsia" w:eastAsiaTheme="minorEastAsia"/>
          <w:lang w:eastAsia="zh-CN"/>
        </w:rPr>
      </w:pPr>
      <w:r>
        <w:rPr>
          <w:rFonts w:hint="eastAsia"/>
        </w:rPr>
        <w:t>（6）《广州市第九号总河长令》（2020年11月）</w:t>
      </w:r>
      <w:r>
        <w:rPr>
          <w:rFonts w:hint="eastAsia"/>
          <w:lang w:eastAsia="zh-CN"/>
        </w:rPr>
        <w:t>；</w:t>
      </w:r>
    </w:p>
    <w:p>
      <w:pPr>
        <w:ind w:firstLine="560"/>
      </w:pPr>
      <w:r>
        <w:rPr>
          <w:rFonts w:hint="eastAsia"/>
        </w:rPr>
        <w:t>（7）广州市水务局关于印发广州市全面攻坚排水单元达标工作方案的通知（穗水规计〔2019〕43号）；</w:t>
      </w:r>
    </w:p>
    <w:p>
      <w:pPr>
        <w:ind w:firstLine="560"/>
      </w:pPr>
      <w:r>
        <w:rPr>
          <w:rFonts w:hint="eastAsia"/>
        </w:rPr>
        <w:t>（8）广州市海绵城市建设领导小组办公室关于印发广州市海绵城市近期建设实施方案（2019-2020年）的通知；</w:t>
      </w:r>
    </w:p>
    <w:p>
      <w:pPr>
        <w:ind w:firstLine="560"/>
      </w:pPr>
      <w:r>
        <w:rPr>
          <w:rFonts w:hint="eastAsia"/>
        </w:rPr>
        <w:t>（9）广州市发展改革委关于印发广州市基本建设项目建议书和可行性研究报告合并编报操作细则的通知（穗发改报告〔2018〕883号）；</w:t>
      </w:r>
    </w:p>
    <w:p>
      <w:pPr>
        <w:ind w:firstLine="560"/>
        <w:rPr>
          <w:rFonts w:hint="eastAsia" w:eastAsiaTheme="minorEastAsia"/>
          <w:lang w:eastAsia="zh-CN"/>
        </w:rPr>
      </w:pPr>
      <w:r>
        <w:rPr>
          <w:rFonts w:hint="eastAsia"/>
        </w:rPr>
        <w:t>（10）《广州市排水管理办法实施细则》（穗水[2013]10号文</w:t>
      </w:r>
      <w:r>
        <w:rPr>
          <w:rFonts w:hint="eastAsia"/>
          <w:lang w:eastAsia="zh-CN"/>
        </w:rPr>
        <w:t>；</w:t>
      </w:r>
    </w:p>
    <w:p>
      <w:pPr>
        <w:ind w:firstLine="560"/>
        <w:rPr>
          <w:rFonts w:hint="eastAsia" w:eastAsiaTheme="minorEastAsia"/>
          <w:lang w:eastAsia="zh-CN"/>
        </w:rPr>
      </w:pPr>
      <w:r>
        <w:rPr>
          <w:rFonts w:hint="eastAsia"/>
        </w:rPr>
        <w:t>（11）《关于中心六区污水管道设计有关要求的通知》（穗水[2013]71号）</w:t>
      </w:r>
      <w:r>
        <w:rPr>
          <w:rFonts w:hint="eastAsia"/>
          <w:lang w:eastAsia="zh-CN"/>
        </w:rPr>
        <w:t>；</w:t>
      </w:r>
    </w:p>
    <w:p>
      <w:pPr>
        <w:ind w:firstLine="560"/>
        <w:rPr>
          <w:rFonts w:hint="eastAsia" w:eastAsiaTheme="minorEastAsia"/>
          <w:lang w:eastAsia="zh-CN"/>
        </w:rPr>
      </w:pPr>
      <w:r>
        <w:rPr>
          <w:rFonts w:hint="eastAsia"/>
        </w:rPr>
        <w:t>（12）《广州、佛山跨界水污染综合整治专项方案（2013～2020 年）》</w:t>
      </w:r>
      <w:r>
        <w:rPr>
          <w:rFonts w:hint="eastAsia"/>
          <w:lang w:eastAsia="zh-CN"/>
        </w:rPr>
        <w:t>；</w:t>
      </w:r>
    </w:p>
    <w:p>
      <w:pPr>
        <w:ind w:firstLine="560"/>
        <w:rPr>
          <w:rFonts w:hint="eastAsia" w:eastAsiaTheme="minorEastAsia"/>
          <w:lang w:eastAsia="zh-CN"/>
        </w:rPr>
      </w:pPr>
      <w:r>
        <w:rPr>
          <w:rFonts w:hint="eastAsia"/>
        </w:rPr>
        <w:t>（13）《广州市治水三年行动计划（2017-2019年）》（穗府办函[2017]91号</w:t>
      </w:r>
      <w:r>
        <w:rPr>
          <w:rFonts w:hint="eastAsia"/>
          <w:lang w:eastAsia="zh-CN"/>
        </w:rPr>
        <w:t>）；</w:t>
      </w:r>
    </w:p>
    <w:p>
      <w:pPr>
        <w:ind w:firstLine="560"/>
      </w:pPr>
      <w:r>
        <w:rPr>
          <w:rFonts w:hint="eastAsia"/>
        </w:rPr>
        <w:t>（14）广州市水务局关于深化广州市建设工程项目联审决策建设方案海绵城市专项编制的函；</w:t>
      </w:r>
    </w:p>
    <w:p>
      <w:pPr>
        <w:ind w:firstLine="560"/>
      </w:pPr>
      <w:r>
        <w:rPr>
          <w:rFonts w:hint="eastAsia"/>
        </w:rPr>
        <w:t>（15）广州市水务局关于印发广州市农村生活污水治理查漏补缺技术指引的通知（穗水农村〔2019〕4号）；</w:t>
      </w:r>
    </w:p>
    <w:p>
      <w:pPr>
        <w:ind w:firstLine="560"/>
        <w:rPr>
          <w:rFonts w:hint="eastAsia" w:eastAsiaTheme="minorEastAsia"/>
          <w:lang w:eastAsia="zh-CN"/>
        </w:rPr>
      </w:pPr>
      <w:r>
        <w:rPr>
          <w:rFonts w:hint="eastAsia"/>
        </w:rPr>
        <w:t>（16）广州市水务局关于印发广州市农村生活污水治理查漏补缺工作方案的通知（穗水农村〔2018〕58号）</w:t>
      </w:r>
      <w:r>
        <w:rPr>
          <w:rFonts w:hint="eastAsia"/>
          <w:lang w:eastAsia="zh-CN"/>
        </w:rPr>
        <w:t>；</w:t>
      </w:r>
    </w:p>
    <w:p>
      <w:pPr>
        <w:ind w:firstLine="560"/>
        <w:rPr>
          <w:rFonts w:hint="eastAsia"/>
          <w:lang w:eastAsia="zh-CN"/>
        </w:rPr>
      </w:pPr>
      <w:r>
        <w:rPr>
          <w:rFonts w:hint="eastAsia"/>
          <w:lang w:eastAsia="zh-CN"/>
        </w:rPr>
        <w:t>（</w:t>
      </w:r>
      <w:r>
        <w:rPr>
          <w:rFonts w:hint="eastAsia"/>
          <w:lang w:val="en-US" w:eastAsia="zh-CN"/>
        </w:rPr>
        <w:t>17</w:t>
      </w:r>
      <w:r>
        <w:rPr>
          <w:rFonts w:hint="eastAsia"/>
          <w:lang w:eastAsia="zh-CN"/>
        </w:rPr>
        <w:t>）广州市从化区水务局关于印发从化区全面攻坚排水单元达标实施方案(修订)的通知；</w:t>
      </w:r>
    </w:p>
    <w:p>
      <w:pPr>
        <w:ind w:firstLine="560"/>
      </w:pPr>
      <w:r>
        <w:rPr>
          <w:rFonts w:hint="eastAsia"/>
          <w:lang w:eastAsia="zh-CN"/>
        </w:rPr>
        <w:t>（</w:t>
      </w:r>
      <w:r>
        <w:rPr>
          <w:rFonts w:hint="eastAsia"/>
          <w:lang w:val="en-US" w:eastAsia="zh-CN"/>
        </w:rPr>
        <w:t>18</w:t>
      </w:r>
      <w:r>
        <w:rPr>
          <w:rFonts w:hint="eastAsia"/>
          <w:lang w:eastAsia="zh-CN"/>
        </w:rPr>
        <w:t>）广州市从化区水务局关于审定广州从化城镇生活污水治理配置提升工程的请示（从水报〔2022〕207 号）。</w:t>
      </w:r>
    </w:p>
    <w:p>
      <w:pPr>
        <w:pStyle w:val="43"/>
      </w:pPr>
      <w:r>
        <w:rPr>
          <w:rFonts w:hint="eastAsia"/>
        </w:rPr>
        <w:t>主要规范及标准</w:t>
      </w:r>
      <w:bookmarkEnd w:id="3"/>
    </w:p>
    <w:p>
      <w:pPr>
        <w:ind w:firstLine="560"/>
      </w:pPr>
      <w:r>
        <w:rPr>
          <w:rFonts w:hint="eastAsia"/>
        </w:rPr>
        <w:t>（1）《室外排水设计标准》</w:t>
      </w:r>
      <w:r>
        <w:rPr>
          <w:rFonts w:hint="eastAsia"/>
        </w:rPr>
        <w:tab/>
      </w:r>
      <w:r>
        <w:rPr>
          <w:rFonts w:hint="eastAsia"/>
        </w:rPr>
        <w:t>GB50014-2021</w:t>
      </w:r>
    </w:p>
    <w:p>
      <w:pPr>
        <w:ind w:firstLine="560"/>
      </w:pPr>
      <w:r>
        <w:rPr>
          <w:rFonts w:hint="eastAsia"/>
        </w:rPr>
        <w:t>（2）《建筑与市政工程抗震通用规范》GB55002-2021</w:t>
      </w:r>
    </w:p>
    <w:p>
      <w:pPr>
        <w:ind w:firstLine="560"/>
      </w:pPr>
      <w:r>
        <w:rPr>
          <w:rFonts w:hint="eastAsia"/>
        </w:rPr>
        <w:t>（3）《泵站设计规范》</w:t>
      </w:r>
      <w:r>
        <w:rPr>
          <w:rFonts w:hint="eastAsia"/>
        </w:rPr>
        <w:tab/>
      </w:r>
      <w:r>
        <w:rPr>
          <w:rFonts w:hint="eastAsia"/>
        </w:rPr>
        <w:t>GB/T50265-2010</w:t>
      </w:r>
    </w:p>
    <w:p>
      <w:pPr>
        <w:ind w:firstLine="560"/>
      </w:pPr>
      <w:r>
        <w:rPr>
          <w:rFonts w:hint="eastAsia"/>
        </w:rPr>
        <w:t>（4）《城市排水工程规划规范》</w:t>
      </w:r>
      <w:r>
        <w:rPr>
          <w:rFonts w:hint="eastAsia"/>
        </w:rPr>
        <w:tab/>
      </w:r>
      <w:r>
        <w:rPr>
          <w:rFonts w:hint="eastAsia"/>
        </w:rPr>
        <w:t>GB50318-2017</w:t>
      </w:r>
    </w:p>
    <w:p>
      <w:pPr>
        <w:ind w:firstLine="560"/>
      </w:pPr>
      <w:r>
        <w:rPr>
          <w:rFonts w:hint="eastAsia"/>
        </w:rPr>
        <w:t>（5）《建筑给水排水设计标准》</w:t>
      </w:r>
      <w:r>
        <w:rPr>
          <w:rFonts w:hint="eastAsia"/>
        </w:rPr>
        <w:tab/>
      </w:r>
      <w:r>
        <w:rPr>
          <w:rFonts w:hint="eastAsia"/>
        </w:rPr>
        <w:t>GB50015-2019</w:t>
      </w:r>
    </w:p>
    <w:p>
      <w:pPr>
        <w:ind w:firstLine="560"/>
      </w:pPr>
      <w:r>
        <w:rPr>
          <w:rFonts w:hint="eastAsia"/>
        </w:rPr>
        <w:t>（6）《地表水环境质量标准》</w:t>
      </w:r>
      <w:r>
        <w:rPr>
          <w:rFonts w:hint="eastAsia"/>
        </w:rPr>
        <w:tab/>
      </w:r>
      <w:r>
        <w:rPr>
          <w:rFonts w:hint="eastAsia"/>
        </w:rPr>
        <w:t>GB3838-2002</w:t>
      </w:r>
    </w:p>
    <w:p>
      <w:pPr>
        <w:ind w:firstLine="560"/>
      </w:pPr>
      <w:r>
        <w:rPr>
          <w:rFonts w:hint="eastAsia"/>
        </w:rPr>
        <w:t>（7）《建筑结构荷载规范》</w:t>
      </w:r>
      <w:r>
        <w:rPr>
          <w:rFonts w:hint="eastAsia"/>
        </w:rPr>
        <w:tab/>
      </w:r>
      <w:r>
        <w:rPr>
          <w:rFonts w:hint="eastAsia"/>
        </w:rPr>
        <w:t>GB50009-2012</w:t>
      </w:r>
    </w:p>
    <w:p>
      <w:pPr>
        <w:ind w:firstLine="560"/>
      </w:pPr>
      <w:r>
        <w:rPr>
          <w:rFonts w:hint="eastAsia"/>
        </w:rPr>
        <w:t>（8）《给水排水工程构筑物结构设计规范》</w:t>
      </w:r>
      <w:r>
        <w:rPr>
          <w:rFonts w:hint="eastAsia"/>
        </w:rPr>
        <w:tab/>
      </w:r>
      <w:r>
        <w:rPr>
          <w:rFonts w:hint="eastAsia"/>
        </w:rPr>
        <w:t>GB50069-2002</w:t>
      </w:r>
    </w:p>
    <w:p>
      <w:pPr>
        <w:ind w:firstLine="560"/>
      </w:pPr>
      <w:r>
        <w:rPr>
          <w:rFonts w:hint="eastAsia"/>
        </w:rPr>
        <w:t>（9）《砌体结构设计规范》</w:t>
      </w:r>
      <w:r>
        <w:rPr>
          <w:rFonts w:hint="eastAsia"/>
        </w:rPr>
        <w:tab/>
      </w:r>
      <w:r>
        <w:rPr>
          <w:rFonts w:hint="eastAsia"/>
        </w:rPr>
        <w:t>GB50003-2011</w:t>
      </w:r>
    </w:p>
    <w:p>
      <w:pPr>
        <w:ind w:firstLine="560"/>
      </w:pPr>
      <w:r>
        <w:rPr>
          <w:rFonts w:hint="eastAsia"/>
        </w:rPr>
        <w:t>（10）《城市污水处理工程项目建设标准属》（修订本）2001 年</w:t>
      </w:r>
    </w:p>
    <w:p>
      <w:pPr>
        <w:ind w:firstLine="560"/>
      </w:pPr>
      <w:r>
        <w:rPr>
          <w:rFonts w:hint="eastAsia"/>
        </w:rPr>
        <w:t>（11）《城镇污水处理厂污染物排放标准》</w:t>
      </w:r>
      <w:r>
        <w:rPr>
          <w:rFonts w:hint="eastAsia"/>
        </w:rPr>
        <w:tab/>
      </w:r>
      <w:r>
        <w:rPr>
          <w:rFonts w:hint="eastAsia"/>
        </w:rPr>
        <w:t>GB18918-2002</w:t>
      </w:r>
    </w:p>
    <w:p>
      <w:pPr>
        <w:ind w:firstLine="560"/>
      </w:pPr>
      <w:r>
        <w:rPr>
          <w:rFonts w:hint="eastAsia"/>
        </w:rPr>
        <w:t>（12）《恶臭污染物排放标准》</w:t>
      </w:r>
      <w:r>
        <w:rPr>
          <w:rFonts w:hint="eastAsia"/>
        </w:rPr>
        <w:tab/>
      </w:r>
      <w:r>
        <w:rPr>
          <w:rFonts w:hint="eastAsia"/>
        </w:rPr>
        <w:t>GB14554-1993</w:t>
      </w:r>
    </w:p>
    <w:p>
      <w:pPr>
        <w:ind w:firstLine="560"/>
      </w:pPr>
      <w:r>
        <w:rPr>
          <w:rFonts w:hint="eastAsia"/>
        </w:rPr>
        <w:t>（13）《声环境质量标准》</w:t>
      </w:r>
      <w:r>
        <w:rPr>
          <w:rFonts w:hint="eastAsia"/>
        </w:rPr>
        <w:tab/>
      </w:r>
      <w:r>
        <w:rPr>
          <w:rFonts w:hint="eastAsia"/>
        </w:rPr>
        <w:t>GB3096-2008</w:t>
      </w:r>
    </w:p>
    <w:p>
      <w:pPr>
        <w:ind w:firstLine="560"/>
      </w:pPr>
      <w:r>
        <w:rPr>
          <w:rFonts w:hint="eastAsia"/>
        </w:rPr>
        <w:t>（14）《水污染物排放限值》广东省地方标准</w:t>
      </w:r>
      <w:r>
        <w:rPr>
          <w:rFonts w:hint="eastAsia"/>
        </w:rPr>
        <w:tab/>
      </w:r>
      <w:r>
        <w:rPr>
          <w:rFonts w:hint="eastAsia"/>
        </w:rPr>
        <w:t>DB44/26-2001</w:t>
      </w:r>
    </w:p>
    <w:p>
      <w:pPr>
        <w:ind w:firstLine="560"/>
      </w:pPr>
      <w:r>
        <w:rPr>
          <w:rFonts w:hint="eastAsia"/>
        </w:rPr>
        <w:t>（15）《城市污水再生利用 城市杂用水水质》</w:t>
      </w:r>
      <w:r>
        <w:rPr>
          <w:rFonts w:hint="eastAsia"/>
        </w:rPr>
        <w:tab/>
      </w:r>
      <w:r>
        <w:rPr>
          <w:rFonts w:hint="eastAsia"/>
        </w:rPr>
        <w:t>GB/T 18920-2020</w:t>
      </w:r>
    </w:p>
    <w:p>
      <w:pPr>
        <w:ind w:firstLine="560"/>
      </w:pPr>
      <w:r>
        <w:rPr>
          <w:rFonts w:hint="eastAsia"/>
        </w:rPr>
        <w:t>（16）《城市污水再生利用 景观环境用水水质》</w:t>
      </w:r>
      <w:r>
        <w:rPr>
          <w:rFonts w:hint="eastAsia"/>
        </w:rPr>
        <w:tab/>
      </w:r>
      <w:r>
        <w:rPr>
          <w:rFonts w:hint="eastAsia"/>
        </w:rPr>
        <w:t>GB/T18921-2019</w:t>
      </w:r>
    </w:p>
    <w:p>
      <w:pPr>
        <w:ind w:firstLine="480"/>
      </w:pPr>
      <w:r>
        <w:rPr>
          <w:rFonts w:hint="eastAsia"/>
        </w:rPr>
        <w:t>（17）《市政公用工程设计文件编制深度规定》（2013 年版）</w:t>
      </w:r>
    </w:p>
    <w:p>
      <w:pPr>
        <w:pStyle w:val="12"/>
        <w:rPr>
          <w:rFonts w:hint="eastAsia"/>
        </w:rPr>
      </w:pPr>
      <w:r>
        <w:rPr>
          <w:rFonts w:hint="eastAsia"/>
          <w:lang w:eastAsia="zh-CN"/>
        </w:rPr>
        <w:t>（</w:t>
      </w:r>
      <w:r>
        <w:rPr>
          <w:rFonts w:hint="eastAsia"/>
          <w:lang w:val="en-US" w:eastAsia="zh-CN"/>
        </w:rPr>
        <w:t>18</w:t>
      </w:r>
      <w:r>
        <w:rPr>
          <w:rFonts w:hint="eastAsia"/>
          <w:lang w:eastAsia="zh-CN"/>
        </w:rPr>
        <w:t>）</w:t>
      </w:r>
      <w:r>
        <w:rPr>
          <w:rFonts w:hint="eastAsia"/>
        </w:rPr>
        <w:t>《建筑给水排水与节水通用规范》GB55020-2021</w:t>
      </w:r>
    </w:p>
    <w:p>
      <w:pPr>
        <w:pStyle w:val="12"/>
        <w:rPr>
          <w:rFonts w:hint="eastAsia"/>
        </w:rPr>
      </w:pPr>
      <w:r>
        <w:rPr>
          <w:rFonts w:hint="eastAsia"/>
          <w:lang w:eastAsia="zh-CN"/>
        </w:rPr>
        <w:t>（</w:t>
      </w:r>
      <w:r>
        <w:rPr>
          <w:rFonts w:hint="eastAsia"/>
          <w:lang w:val="en-US" w:eastAsia="zh-CN"/>
        </w:rPr>
        <w:t>19</w:t>
      </w:r>
      <w:r>
        <w:rPr>
          <w:rFonts w:hint="eastAsia"/>
          <w:lang w:eastAsia="zh-CN"/>
        </w:rPr>
        <w:t>）</w:t>
      </w:r>
      <w:r>
        <w:rPr>
          <w:rFonts w:hint="eastAsia"/>
        </w:rPr>
        <w:t>《建筑节能与可再生能源利用通用规范》GB55015-2021</w:t>
      </w:r>
    </w:p>
    <w:p>
      <w:pPr>
        <w:pStyle w:val="12"/>
        <w:rPr>
          <w:rFonts w:hint="eastAsia"/>
        </w:rPr>
      </w:pPr>
      <w:r>
        <w:rPr>
          <w:rFonts w:hint="eastAsia"/>
          <w:lang w:eastAsia="zh-CN"/>
        </w:rPr>
        <w:t>（</w:t>
      </w:r>
      <w:r>
        <w:rPr>
          <w:rFonts w:hint="eastAsia"/>
          <w:lang w:val="en-US" w:eastAsia="zh-CN"/>
        </w:rPr>
        <w:t>20</w:t>
      </w:r>
      <w:r>
        <w:rPr>
          <w:rFonts w:hint="eastAsia"/>
          <w:lang w:eastAsia="zh-CN"/>
        </w:rPr>
        <w:t>）</w:t>
      </w:r>
      <w:r>
        <w:rPr>
          <w:rFonts w:hint="eastAsia"/>
        </w:rPr>
        <w:t>《城乡排水工程项目规范》GB55027-2022</w:t>
      </w:r>
    </w:p>
    <w:p>
      <w:pPr>
        <w:pStyle w:val="12"/>
        <w:rPr>
          <w:rFonts w:hint="eastAsia"/>
        </w:rPr>
      </w:pPr>
      <w:r>
        <w:rPr>
          <w:rFonts w:hint="eastAsia"/>
          <w:lang w:eastAsia="zh-CN"/>
        </w:rPr>
        <w:t>（</w:t>
      </w:r>
      <w:r>
        <w:rPr>
          <w:rFonts w:hint="eastAsia"/>
          <w:lang w:val="en-US" w:eastAsia="zh-CN"/>
        </w:rPr>
        <w:t>21</w:t>
      </w:r>
      <w:r>
        <w:rPr>
          <w:rFonts w:hint="eastAsia"/>
          <w:lang w:eastAsia="zh-CN"/>
        </w:rPr>
        <w:t>）</w:t>
      </w:r>
      <w:r>
        <w:rPr>
          <w:rFonts w:hint="eastAsia"/>
        </w:rPr>
        <w:t>《建筑与市政工程无障碍通用规范》GB55019-2021</w:t>
      </w:r>
    </w:p>
    <w:p>
      <w:pPr>
        <w:ind w:firstLine="480"/>
        <w:rPr>
          <w:rFonts w:hint="eastAsia"/>
        </w:rPr>
      </w:pPr>
      <w:r>
        <w:rPr>
          <w:rFonts w:hint="eastAsia"/>
          <w:lang w:eastAsia="zh-CN"/>
        </w:rPr>
        <w:t>（</w:t>
      </w:r>
      <w:r>
        <w:rPr>
          <w:rFonts w:hint="eastAsia"/>
          <w:lang w:val="en-US" w:eastAsia="zh-CN"/>
        </w:rPr>
        <w:t>22</w:t>
      </w:r>
      <w:r>
        <w:rPr>
          <w:rFonts w:hint="eastAsia"/>
          <w:lang w:eastAsia="zh-CN"/>
        </w:rPr>
        <w:t>）</w:t>
      </w:r>
      <w:r>
        <w:rPr>
          <w:rFonts w:hint="eastAsia"/>
        </w:rPr>
        <w:t>《建筑与市政工程防水通用规范》GB55030-2022</w:t>
      </w:r>
    </w:p>
    <w:p>
      <w:pPr>
        <w:ind w:firstLine="480"/>
      </w:pPr>
      <w:r>
        <w:rPr>
          <w:rFonts w:hint="eastAsia"/>
        </w:rPr>
        <w:t>（</w:t>
      </w:r>
      <w:r>
        <w:rPr>
          <w:rFonts w:hint="eastAsia"/>
          <w:lang w:val="en-US" w:eastAsia="zh-CN"/>
        </w:rPr>
        <w:t>23</w:t>
      </w:r>
      <w:r>
        <w:rPr>
          <w:rFonts w:hint="eastAsia"/>
        </w:rPr>
        <w:t>）测量地形图、管线资料、地质钻孔成果资料</w:t>
      </w:r>
    </w:p>
    <w:p>
      <w:pPr>
        <w:pStyle w:val="42"/>
      </w:pPr>
      <w:bookmarkStart w:id="4" w:name="_Toc67318039"/>
      <w:r>
        <w:rPr>
          <w:rFonts w:hint="eastAsia"/>
        </w:rPr>
        <w:t>工程方案设计</w:t>
      </w:r>
      <w:bookmarkEnd w:id="4"/>
    </w:p>
    <w:p>
      <w:pPr>
        <w:pStyle w:val="43"/>
      </w:pPr>
      <w:bookmarkStart w:id="5" w:name="_Toc67318040"/>
      <w:r>
        <w:rPr>
          <w:rFonts w:hint="eastAsia"/>
        </w:rPr>
        <w:t>排水体制</w:t>
      </w:r>
      <w:bookmarkEnd w:id="5"/>
    </w:p>
    <w:p>
      <w:pPr>
        <w:ind w:firstLine="482"/>
        <w:rPr>
          <w:b/>
          <w:bCs/>
        </w:rPr>
      </w:pPr>
      <w:r>
        <w:rPr>
          <w:rFonts w:hint="eastAsia"/>
          <w:b/>
          <w:bCs/>
        </w:rPr>
        <w:t>本工程采用雨污分流制进行改造。</w:t>
      </w:r>
    </w:p>
    <w:p>
      <w:pPr>
        <w:pStyle w:val="43"/>
      </w:pPr>
      <w:bookmarkStart w:id="6" w:name="_Toc67318041"/>
      <w:r>
        <w:rPr>
          <w:rFonts w:hint="eastAsia"/>
        </w:rPr>
        <w:t>工程方案设计</w:t>
      </w:r>
      <w:bookmarkEnd w:id="6"/>
    </w:p>
    <w:p>
      <w:pPr>
        <w:ind w:firstLine="560"/>
        <w:jc w:val="left"/>
      </w:pPr>
      <w:bookmarkStart w:id="7" w:name="_Toc67318042"/>
      <w:r>
        <w:rPr>
          <w:rFonts w:hint="eastAsia"/>
        </w:rPr>
        <w:t>大广高速以东本工程范围内，道路两侧新建DN500~DN600污水管转输上游及两侧单元污水，并且对工程范围内进行排水单元改造，实现雨污分流，主管接驳至从城大道d600污水管。</w:t>
      </w:r>
    </w:p>
    <w:p>
      <w:pPr>
        <w:pStyle w:val="43"/>
      </w:pPr>
      <w:r>
        <w:rPr>
          <w:rFonts w:hint="eastAsia"/>
        </w:rPr>
        <w:t>污水主管沿线污染源收集设计</w:t>
      </w:r>
      <w:bookmarkEnd w:id="7"/>
    </w:p>
    <w:p>
      <w:pPr>
        <w:ind w:firstLine="480"/>
      </w:pPr>
      <w:r>
        <w:rPr>
          <w:rFonts w:hint="eastAsia"/>
        </w:rPr>
        <w:t>现状城鳌大道两侧沿线商铺污水接入城鳌大道合流边沟。为保证本工程新建污水系统实施效果，提高区域污水收集率，并减少污水再次错接入雨水系统。本工程实施后，两侧合流边沟将利用作为雨水传输系统。新建污水支管截流城鳌大道两侧沿线商铺污染源，将其收入污水主管，杜绝污水再进入沿线城鳌大道雨水边沟。</w:t>
      </w:r>
    </w:p>
    <w:p>
      <w:pPr>
        <w:pStyle w:val="42"/>
      </w:pPr>
      <w:bookmarkStart w:id="8" w:name="_Toc67318043"/>
      <w:r>
        <w:rPr>
          <w:rFonts w:hint="eastAsia"/>
        </w:rPr>
        <w:t>排水构筑物、管材选择、施工方法</w:t>
      </w:r>
      <w:bookmarkEnd w:id="8"/>
    </w:p>
    <w:p>
      <w:pPr>
        <w:pStyle w:val="43"/>
      </w:pPr>
      <w:bookmarkStart w:id="9" w:name="_Toc67318044"/>
      <w:r>
        <w:rPr>
          <w:rFonts w:hint="eastAsia"/>
        </w:rPr>
        <w:t>检查井</w:t>
      </w:r>
      <w:bookmarkEnd w:id="9"/>
    </w:p>
    <w:p>
      <w:pPr>
        <w:ind w:firstLine="480"/>
      </w:pPr>
      <w:r>
        <w:rPr>
          <w:rFonts w:hint="eastAsia"/>
        </w:rPr>
        <w:t>（1）</w:t>
      </w:r>
      <w:r>
        <w:t>本工程</w:t>
      </w:r>
      <w:r>
        <w:rPr>
          <w:rFonts w:hint="eastAsia"/>
        </w:rPr>
        <w:t>开挖施工污水管，</w:t>
      </w:r>
      <w:r>
        <w:t>采用预制装配式钢筋混凝土排水检查井，</w:t>
      </w:r>
      <w:r>
        <w:rPr>
          <w:rFonts w:hint="eastAsia"/>
        </w:rPr>
        <w:t>顶管施工污水管，</w:t>
      </w:r>
      <w:r>
        <w:t>采用现浇钢筋混凝土井，检查（沉砂）井井径分配如下：</w:t>
      </w:r>
    </w:p>
    <w:tbl>
      <w:tblPr>
        <w:tblStyle w:val="59"/>
        <w:tblW w:w="371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699"/>
        <w:gridCol w:w="4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834" w:type="pct"/>
            <w:vAlign w:val="center"/>
          </w:tcPr>
          <w:p>
            <w:pPr>
              <w:spacing w:line="240" w:lineRule="auto"/>
              <w:ind w:firstLine="0" w:firstLineChars="0"/>
              <w:jc w:val="center"/>
            </w:pPr>
            <w:r>
              <w:t>适用管径DN（mm）</w:t>
            </w:r>
          </w:p>
        </w:tc>
        <w:tc>
          <w:tcPr>
            <w:tcW w:w="3166" w:type="pct"/>
            <w:vAlign w:val="center"/>
          </w:tcPr>
          <w:p>
            <w:pPr>
              <w:spacing w:line="240" w:lineRule="auto"/>
              <w:ind w:firstLine="0" w:firstLineChars="0"/>
              <w:jc w:val="center"/>
            </w:pPr>
            <w:r>
              <w:t>钢筋混凝土检查井井径（mm）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834" w:type="pct"/>
            <w:vAlign w:val="center"/>
          </w:tcPr>
          <w:p>
            <w:pPr>
              <w:spacing w:line="240" w:lineRule="auto"/>
              <w:ind w:firstLine="0" w:firstLineChars="0"/>
              <w:jc w:val="center"/>
            </w:pPr>
            <w:r>
              <w:t>DN300</w:t>
            </w:r>
            <w:r>
              <w:rPr>
                <w:rFonts w:hint="eastAsia"/>
              </w:rPr>
              <w:t>~400</w:t>
            </w:r>
          </w:p>
        </w:tc>
        <w:tc>
          <w:tcPr>
            <w:tcW w:w="3166" w:type="pct"/>
            <w:vAlign w:val="center"/>
          </w:tcPr>
          <w:p>
            <w:pPr>
              <w:spacing w:line="240" w:lineRule="auto"/>
              <w:ind w:firstLine="0" w:firstLineChars="0"/>
              <w:jc w:val="center"/>
            </w:pPr>
            <w:r>
              <w:t>Φ1000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834" w:type="pct"/>
            <w:vAlign w:val="center"/>
          </w:tcPr>
          <w:p>
            <w:pPr>
              <w:spacing w:line="240" w:lineRule="auto"/>
              <w:ind w:firstLine="0" w:firstLineChars="0"/>
              <w:jc w:val="center"/>
            </w:pPr>
            <w:r>
              <w:t>DN</w:t>
            </w:r>
            <w:r>
              <w:rPr>
                <w:rFonts w:hint="eastAsia"/>
              </w:rPr>
              <w:t>5</w:t>
            </w:r>
            <w:r>
              <w:t>00</w:t>
            </w:r>
            <w:r>
              <w:rPr>
                <w:rFonts w:hint="eastAsia"/>
              </w:rPr>
              <w:t>~700</w:t>
            </w:r>
          </w:p>
        </w:tc>
        <w:tc>
          <w:tcPr>
            <w:tcW w:w="3166" w:type="pct"/>
            <w:vAlign w:val="center"/>
          </w:tcPr>
          <w:p>
            <w:pPr>
              <w:spacing w:line="240" w:lineRule="auto"/>
              <w:ind w:firstLine="0" w:firstLineChars="0"/>
              <w:jc w:val="center"/>
            </w:pPr>
            <w:r>
              <w:t>Φ1200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834" w:type="pct"/>
            <w:vAlign w:val="center"/>
          </w:tcPr>
          <w:p>
            <w:pPr>
              <w:spacing w:line="240" w:lineRule="auto"/>
              <w:ind w:firstLine="0" w:firstLineChars="0"/>
              <w:jc w:val="center"/>
            </w:pPr>
            <w:r>
              <w:t>DN800～DN1000</w:t>
            </w:r>
          </w:p>
        </w:tc>
        <w:tc>
          <w:tcPr>
            <w:tcW w:w="3166" w:type="pct"/>
            <w:vAlign w:val="center"/>
          </w:tcPr>
          <w:p>
            <w:pPr>
              <w:spacing w:line="240" w:lineRule="auto"/>
              <w:ind w:firstLine="0" w:firstLineChars="0"/>
              <w:jc w:val="center"/>
            </w:pPr>
            <w:r>
              <w:t>Φ1600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1834" w:type="pct"/>
            <w:vAlign w:val="center"/>
          </w:tcPr>
          <w:p>
            <w:pPr>
              <w:spacing w:line="240" w:lineRule="auto"/>
              <w:ind w:firstLine="0" w:firstLineChars="0"/>
              <w:jc w:val="center"/>
            </w:pPr>
            <w:r>
              <w:t>DN1100～DN1200</w:t>
            </w:r>
          </w:p>
        </w:tc>
        <w:tc>
          <w:tcPr>
            <w:tcW w:w="3166" w:type="pct"/>
            <w:vAlign w:val="center"/>
          </w:tcPr>
          <w:p>
            <w:pPr>
              <w:spacing w:line="240" w:lineRule="auto"/>
              <w:ind w:firstLine="0" w:firstLineChars="0"/>
              <w:jc w:val="center"/>
            </w:pPr>
            <w:r>
              <w:t>1600x1600</w:t>
            </w:r>
          </w:p>
        </w:tc>
      </w:tr>
    </w:tbl>
    <w:p>
      <w:pPr>
        <w:ind w:firstLine="480"/>
      </w:pPr>
      <w:r>
        <w:rPr>
          <w:rFonts w:hint="eastAsia"/>
        </w:rPr>
        <w:t>（2）</w:t>
      </w:r>
      <w:r>
        <w:t>预制装配式钢筋混凝土检查井做法及详细要求详见《预制装配式钢筋混凝土排水检查井标准图集》（试行）及《广州市预制装配式钢筋混凝土排水检查井》，现浇钢筋混凝土检查井做法及要求详见院标准大样图。</w:t>
      </w:r>
    </w:p>
    <w:p>
      <w:pPr>
        <w:ind w:firstLine="480"/>
      </w:pPr>
      <w:r>
        <w:rPr>
          <w:rFonts w:hint="eastAsia"/>
        </w:rPr>
        <w:t>（3）</w:t>
      </w:r>
      <w:r>
        <w:t>检查井井盖：</w:t>
      </w:r>
      <w:r>
        <w:rPr>
          <w:rFonts w:hint="eastAsia"/>
        </w:rPr>
        <w:t>检查井井盖样式选用及</w:t>
      </w:r>
      <w:r>
        <w:t>井盖安装参照《广州城市道路井盖建设实施指引》（2018 年 6 月）。检查井完成后需在井内加设防护网；防护网要求：材质为球墨铸，承载能力为≥100kg；防坠网具体做法见《广州城市道路品质建设实施手册 2018-井盖分册》。</w:t>
      </w:r>
    </w:p>
    <w:p>
      <w:pPr>
        <w:ind w:firstLine="480"/>
      </w:pPr>
      <w:r>
        <w:rPr>
          <w:rFonts w:hint="eastAsia"/>
        </w:rPr>
        <w:t>（4）</w:t>
      </w:r>
      <w:r>
        <w:t>检查井完成后，需对检查井进行编号，在井壁设置标识铭牌。标识铭牌按广州市水务局规定制作，标识铭牌版面尺寸不小于 15cmx10cm，其内容包括井盖设施权属部门名称、24小时报修电话：标识铭牌应牢固安装在井壁处显著位置；标识铭牌应采用防腐蚀和具有反光性能的材质，以保持耐久和版面信息清晰；</w:t>
      </w:r>
    </w:p>
    <w:p>
      <w:pPr>
        <w:ind w:firstLine="480"/>
      </w:pPr>
      <w:r>
        <w:rPr>
          <w:rFonts w:hint="eastAsia"/>
        </w:rPr>
        <w:t>（5）</w:t>
      </w:r>
      <w:r>
        <w:t>雨水检查井井身内壁、污水检查井井身内外壁均用 1：2 水泥砂浆批挡，厚度 20mm，砂浆中添加防水剂；污水检查井井底设流槽，雨水管DN＞600 检查井井底设流槽</w:t>
      </w:r>
      <w:r>
        <w:rPr>
          <w:rFonts w:hint="eastAsia"/>
        </w:rPr>
        <w:t>.</w:t>
      </w:r>
    </w:p>
    <w:p>
      <w:pPr>
        <w:pStyle w:val="43"/>
      </w:pPr>
      <w:bookmarkStart w:id="10" w:name="_Toc67318045"/>
      <w:r>
        <w:rPr>
          <w:rFonts w:hint="eastAsia"/>
        </w:rPr>
        <w:t>管材</w:t>
      </w:r>
      <w:bookmarkEnd w:id="10"/>
      <w:r>
        <w:rPr>
          <w:rFonts w:hint="eastAsia"/>
        </w:rPr>
        <w:t>选用</w:t>
      </w:r>
    </w:p>
    <w:p>
      <w:pPr>
        <w:ind w:firstLine="480"/>
        <w:jc w:val="left"/>
        <w:rPr>
          <w:rFonts w:hint="eastAsia"/>
        </w:rPr>
      </w:pPr>
      <w:r>
        <w:rPr>
          <w:rFonts w:hint="eastAsia"/>
        </w:rPr>
        <w:t>（1）埋地明挖施工管道≤DN200采用PVC-U硬聚氯乙烯排水管，环刚度≥8kN/m2；</w:t>
      </w:r>
    </w:p>
    <w:p>
      <w:pPr>
        <w:ind w:firstLine="480"/>
        <w:jc w:val="left"/>
        <w:rPr>
          <w:rFonts w:hint="eastAsia"/>
        </w:rPr>
      </w:pPr>
      <w:r>
        <w:rPr>
          <w:rFonts w:hint="eastAsia"/>
          <w:lang w:eastAsia="zh-CN"/>
        </w:rPr>
        <w:t>（</w:t>
      </w:r>
      <w:r>
        <w:rPr>
          <w:rFonts w:hint="eastAsia"/>
          <w:lang w:val="en-US" w:eastAsia="zh-CN"/>
        </w:rPr>
        <w:t>2</w:t>
      </w:r>
      <w:r>
        <w:rPr>
          <w:rFonts w:hint="eastAsia"/>
          <w:lang w:eastAsia="zh-CN"/>
        </w:rPr>
        <w:t>）</w:t>
      </w:r>
      <w:r>
        <w:rPr>
          <w:rFonts w:hint="eastAsia"/>
        </w:rPr>
        <w:t>埋地明挖施工管道DN300-DN400采用II级钢筋混凝土管管材；</w:t>
      </w:r>
    </w:p>
    <w:p>
      <w:pPr>
        <w:ind w:firstLine="480"/>
        <w:jc w:val="left"/>
        <w:rPr>
          <w:rFonts w:hint="eastAsia"/>
        </w:rPr>
      </w:pPr>
      <w:r>
        <w:rPr>
          <w:rFonts w:hint="eastAsia"/>
          <w:lang w:eastAsia="zh-CN"/>
        </w:rPr>
        <w:t>（</w:t>
      </w:r>
      <w:r>
        <w:rPr>
          <w:rFonts w:hint="eastAsia"/>
          <w:lang w:val="en-US" w:eastAsia="zh-CN"/>
        </w:rPr>
        <w:t>3</w:t>
      </w:r>
      <w:r>
        <w:rPr>
          <w:rFonts w:hint="eastAsia"/>
          <w:lang w:eastAsia="zh-CN"/>
        </w:rPr>
        <w:t>）</w:t>
      </w:r>
      <w:r>
        <w:rPr>
          <w:rFonts w:hint="eastAsia"/>
        </w:rPr>
        <w:t>埋地明挖施工管道DN500及以上采用球墨铸铁管管材；</w:t>
      </w:r>
    </w:p>
    <w:p>
      <w:pPr>
        <w:ind w:firstLine="480"/>
        <w:jc w:val="left"/>
      </w:pPr>
      <w:r>
        <w:rPr>
          <w:rFonts w:hint="eastAsia"/>
          <w:lang w:eastAsia="zh-CN"/>
        </w:rPr>
        <w:t>（</w:t>
      </w:r>
      <w:r>
        <w:rPr>
          <w:rFonts w:hint="eastAsia"/>
          <w:lang w:val="en-US" w:eastAsia="zh-CN"/>
        </w:rPr>
        <w:t>4</w:t>
      </w:r>
      <w:r>
        <w:rPr>
          <w:rFonts w:hint="eastAsia"/>
          <w:lang w:eastAsia="zh-CN"/>
        </w:rPr>
        <w:t>）</w:t>
      </w:r>
      <w:r>
        <w:rPr>
          <w:rFonts w:hint="eastAsia"/>
        </w:rPr>
        <w:t>埋地非开挖施工管道（顶管）采用F型III级钢筋混凝土顶管专用管。</w:t>
      </w:r>
      <w:bookmarkStart w:id="17" w:name="_GoBack"/>
      <w:bookmarkEnd w:id="17"/>
    </w:p>
    <w:p>
      <w:pPr>
        <w:pStyle w:val="43"/>
      </w:pPr>
      <w:bookmarkStart w:id="11" w:name="_Toc67318046"/>
      <w:r>
        <w:rPr>
          <w:rFonts w:hint="eastAsia"/>
        </w:rPr>
        <w:t>管材防腐</w:t>
      </w:r>
      <w:bookmarkEnd w:id="11"/>
    </w:p>
    <w:p>
      <w:pPr>
        <w:ind w:firstLine="480"/>
      </w:pPr>
      <w:r>
        <w:rPr>
          <w:rFonts w:hint="eastAsia"/>
        </w:rPr>
        <w:t>球墨铸铁管防腐：管道内涂层采用高铝水泥砂浆，其中氧化铝含量大于 50%，水泥砂浆内衬应符合《球墨铸铁管和管件水泥砂浆内衬》（GB/T17457-2019）。管道外涂层采用外表面带终饰层的喷锌涂料（参照规范《球墨铸铁管外表面锌涂层 第1部分：带终饰层的金属锌涂层》GB/T 17456.1-2009），锌涂层质量的平均值不应小于 130g/m2，局部最小值不应小于 110g/m2。综饰涂层为沥青漆，终饰层干膜的平均厚度不小于 70um、不超过250um，局部最小厚度不小于 50um。</w:t>
      </w:r>
    </w:p>
    <w:p>
      <w:pPr>
        <w:pStyle w:val="43"/>
      </w:pPr>
      <w:bookmarkStart w:id="12" w:name="_Toc67318048"/>
      <w:r>
        <w:rPr>
          <w:rFonts w:hint="eastAsia"/>
        </w:rPr>
        <w:t>管道埋深</w:t>
      </w:r>
      <w:bookmarkEnd w:id="12"/>
    </w:p>
    <w:p>
      <w:pPr>
        <w:ind w:firstLine="480"/>
      </w:pPr>
      <w:r>
        <w:rPr>
          <w:rFonts w:hint="eastAsia"/>
        </w:rPr>
        <w:t>管道埋深以平面图及纵断面标注为准</w:t>
      </w:r>
    </w:p>
    <w:p>
      <w:pPr>
        <w:pStyle w:val="43"/>
      </w:pPr>
      <w:bookmarkStart w:id="13" w:name="_Toc67318049"/>
      <w:r>
        <w:rPr>
          <w:rFonts w:hint="eastAsia"/>
        </w:rPr>
        <w:t>沟槽开挖</w:t>
      </w:r>
      <w:bookmarkEnd w:id="13"/>
    </w:p>
    <w:p>
      <w:pPr>
        <w:ind w:firstLine="480"/>
      </w:pPr>
      <w:r>
        <w:rPr>
          <w:rFonts w:hint="eastAsia"/>
        </w:rPr>
        <w:t>管道沟槽开挖深H≤1200mm时，按施工现场以实际考虑；管道沟槽开挖深1200mm&lt;H≤2000mm时，采用挡土板支护开挖；管道沟槽开挖深2000mm&lt;H1≤3000mm时，采用6m拉森Ⅲ型钢板桩支护开挖；管道沟槽开挖深</w:t>
      </w:r>
      <w:r>
        <w:rPr>
          <w:rFonts w:hint="eastAsia"/>
          <w:lang w:val="en-US" w:eastAsia="zh-CN"/>
        </w:rPr>
        <w:t>3</w:t>
      </w:r>
      <w:r>
        <w:rPr>
          <w:rFonts w:hint="eastAsia"/>
        </w:rPr>
        <w:t>000mm&lt;H1≤</w:t>
      </w:r>
      <w:r>
        <w:rPr>
          <w:rFonts w:hint="eastAsia"/>
          <w:lang w:val="en-US" w:eastAsia="zh-CN"/>
        </w:rPr>
        <w:t>45</w:t>
      </w:r>
      <w:r>
        <w:rPr>
          <w:rFonts w:hint="eastAsia"/>
        </w:rPr>
        <w:t>00mm时，采用</w:t>
      </w:r>
      <w:r>
        <w:rPr>
          <w:rFonts w:hint="eastAsia"/>
          <w:lang w:val="en-US" w:eastAsia="zh-CN"/>
        </w:rPr>
        <w:t>9</w:t>
      </w:r>
      <w:r>
        <w:rPr>
          <w:rFonts w:hint="eastAsia"/>
        </w:rPr>
        <w:t>m拉森Ⅲ型钢板桩支护开挖；具体支护开挖方式以大样图为准。</w:t>
      </w:r>
    </w:p>
    <w:p>
      <w:pPr>
        <w:ind w:firstLine="480"/>
        <w:rPr>
          <w:rFonts w:hint="eastAsia"/>
        </w:rPr>
      </w:pPr>
      <w:r>
        <w:rPr>
          <w:rFonts w:hint="eastAsia"/>
        </w:rPr>
        <w:t>本工程沟槽开挖5%采用人工开挖，95%采用机械开挖。当沟槽挖深较大时，应合理分层开挖。</w:t>
      </w:r>
      <w:bookmarkStart w:id="14" w:name="_Toc67318050"/>
      <w:bookmarkEnd w:id="14"/>
    </w:p>
    <w:p>
      <w:pPr>
        <w:ind w:firstLine="480"/>
        <w:rPr>
          <w:rFonts w:hint="eastAsia"/>
        </w:rPr>
      </w:pPr>
      <w:r>
        <w:rPr>
          <w:rFonts w:hint="eastAsia"/>
        </w:rPr>
        <w:t>顶管工艺详见顶管结构设计大样图。</w:t>
      </w:r>
    </w:p>
    <w:p>
      <w:pPr>
        <w:pStyle w:val="43"/>
        <w:ind w:left="0"/>
      </w:pPr>
      <w:r>
        <w:t>排水管道基础、地基处理及沟槽回填</w:t>
      </w:r>
    </w:p>
    <w:p>
      <w:pPr>
        <w:ind w:firstLine="480"/>
        <w:rPr>
          <w:rFonts w:ascii="Times New Roman" w:hAnsi="Times New Roman" w:cs="Times New Roman"/>
          <w:sz w:val="15"/>
        </w:rPr>
      </w:pPr>
      <w:r>
        <w:rPr>
          <w:rFonts w:ascii="Times New Roman" w:hAnsi="Times New Roman" w:cs="Times New Roman"/>
        </w:rPr>
        <w:t>排水管道基础及地基处理</w:t>
      </w:r>
    </w:p>
    <w:p>
      <w:pPr>
        <w:ind w:firstLine="480"/>
        <w:rPr>
          <w:rFonts w:ascii="Times New Roman" w:hAnsi="Times New Roman" w:cs="Times New Roman"/>
        </w:rPr>
      </w:pPr>
      <w:r>
        <w:rPr>
          <w:rFonts w:ascii="Times New Roman" w:hAnsi="Times New Roman" w:cs="Times New Roman"/>
        </w:rPr>
        <w:t>排水管道基础做法见大样图。</w:t>
      </w:r>
    </w:p>
    <w:p>
      <w:pPr>
        <w:ind w:firstLine="480"/>
        <w:rPr>
          <w:rFonts w:ascii="Times New Roman" w:hAnsi="Times New Roman" w:cs="Times New Roman"/>
          <w:sz w:val="15"/>
        </w:rPr>
      </w:pPr>
      <w:r>
        <w:rPr>
          <w:rFonts w:ascii="Times New Roman" w:hAnsi="Times New Roman" w:cs="Times New Roman"/>
        </w:rPr>
        <w:t>管道及检查井基础地基承载力应不小于 100KPa；</w:t>
      </w:r>
    </w:p>
    <w:p>
      <w:pPr>
        <w:ind w:firstLine="480"/>
        <w:rPr>
          <w:rFonts w:ascii="Times New Roman" w:hAnsi="Times New Roman" w:cs="Times New Roman"/>
        </w:rPr>
      </w:pPr>
      <w:r>
        <w:rPr>
          <w:rFonts w:ascii="Times New Roman" w:hAnsi="Times New Roman" w:cs="Times New Roman"/>
        </w:rPr>
        <w:t>排水管道穿越或位于河道、塘及杂填土层时，必须将管基下的淤泥及杂填土等不良土层予以清除。当超挖深度小于 1.0m 时，超挖部分用粒径为 10～15mm 的天然级配砂石料或 5～40mm 的碎石回填至设计管道基础底标高，其压实度应达到 90%以上；当超挖深度大于 1.0m 时，可参照道路路基处理方案。上述地基处理完成后均须进行地基承载力试验，并确认其压实度及承载力达到相关施工及验收规范要求后方可进行排水管道的施工。</w:t>
      </w:r>
    </w:p>
    <w:p>
      <w:pPr>
        <w:ind w:firstLine="480"/>
        <w:rPr>
          <w:rFonts w:ascii="Times New Roman" w:hAnsi="Times New Roman" w:cs="Times New Roman"/>
        </w:rPr>
      </w:pPr>
      <w:r>
        <w:rPr>
          <w:rFonts w:ascii="Times New Roman" w:hAnsi="Times New Roman" w:cs="Times New Roman"/>
        </w:rPr>
        <w:t>当地下水位较高时，必须采取有效的降水措施，将地下水降至槽底以下不小于 0.5 处，做到干槽施工。当降水不力造成地基土扰动时，可按以下方法处理：</w:t>
      </w:r>
    </w:p>
    <w:p>
      <w:pPr>
        <w:ind w:firstLine="480"/>
        <w:rPr>
          <w:rFonts w:ascii="Times New Roman" w:hAnsi="Times New Roman" w:cs="Times New Roman"/>
        </w:rPr>
      </w:pPr>
      <w:r>
        <w:rPr>
          <w:rFonts w:ascii="Times New Roman" w:hAnsi="Times New Roman" w:cs="Times New Roman"/>
        </w:rPr>
        <w:t>扰动深度在 100mm 以内，填天然级配砂石或砂砾处理；扰动深度在 300mm 以内，但下部坚硬时，填卵石或块石，再用砾石填充空隙并找平表面。</w:t>
      </w:r>
    </w:p>
    <w:p>
      <w:pPr>
        <w:ind w:firstLine="480"/>
        <w:rPr>
          <w:rFonts w:ascii="Times New Roman" w:hAnsi="Times New Roman" w:cs="Times New Roman"/>
          <w:sz w:val="15"/>
        </w:rPr>
      </w:pPr>
      <w:r>
        <w:rPr>
          <w:rFonts w:ascii="Times New Roman" w:hAnsi="Times New Roman" w:cs="Times New Roman"/>
        </w:rPr>
        <w:t>除地基处理路段外，沟槽严禁超挖，如用机械挖土，应保留不小于 0.2m 土层用人工清槽，严禁扰动原状土。若局部超挖或发生扰动时，其超挖部分用粒径为 10～15mm 的天然级配砂石料或 5～40mm 的碎石，整平夯实至基础底设计标高。</w:t>
      </w:r>
    </w:p>
    <w:p>
      <w:pPr>
        <w:ind w:firstLine="480"/>
      </w:pPr>
      <w:r>
        <w:t>排水管道沟槽开挖及回填做法</w:t>
      </w:r>
      <w:r>
        <w:rPr>
          <w:rFonts w:hint="eastAsia"/>
        </w:rPr>
        <w:t>详见</w:t>
      </w:r>
      <w:r>
        <w:t>大样图。</w:t>
      </w:r>
    </w:p>
    <w:p>
      <w:pPr>
        <w:ind w:firstLine="480"/>
      </w:pPr>
      <w:r>
        <w:t>管道敷设后应立即进行沟槽回填。在密闭性检验前，除接头外露外，管道两侧和管顶以上的回填</w:t>
      </w:r>
      <w:r>
        <w:rPr>
          <w:rFonts w:hint="eastAsia"/>
        </w:rPr>
        <w:t>至道路结构层</w:t>
      </w:r>
      <w:r>
        <w:t>；</w:t>
      </w:r>
    </w:p>
    <w:p>
      <w:pPr>
        <w:ind w:firstLine="480"/>
      </w:pPr>
      <w:r>
        <w:t>从管底基础至管顶0.5m范围内，沿管道、检查井两侧必须采用人工对称、分层回填压实，严禁用机械推土回填。必要时应采用临时限位措施，防止上浮；</w:t>
      </w:r>
    </w:p>
    <w:p>
      <w:pPr>
        <w:ind w:firstLine="480"/>
      </w:pPr>
      <w:r>
        <w:t>管顶0.5m以上沟槽采用机械回填时，应从管轴线两侧同时均匀进行，做到分层回填、夯实、碾压；</w:t>
      </w:r>
    </w:p>
    <w:p>
      <w:pPr>
        <w:ind w:firstLine="480"/>
      </w:pPr>
      <w:r>
        <w:t>回填时沟槽内应无积水、不得带水回填，不得回填淤泥、有机物和冻土，回填土中不得含有石块、砖和其他杂硬物体；</w:t>
      </w:r>
    </w:p>
    <w:p>
      <w:pPr>
        <w:ind w:firstLine="480"/>
      </w:pPr>
      <w:r>
        <w:t>新建管道位于现状道路下时，须在回填后对路面进行修复，修复道路应按原道路结构进行修复，工程量按实计；</w:t>
      </w:r>
    </w:p>
    <w:p>
      <w:pPr>
        <w:ind w:firstLine="480"/>
      </w:pPr>
      <w:r>
        <w:t>管道沟槽回填其他要求见《给水排水管道工程施工及验收规范》（GB50268－2008）。</w:t>
      </w:r>
    </w:p>
    <w:p>
      <w:pPr>
        <w:pStyle w:val="42"/>
      </w:pPr>
      <w:bookmarkStart w:id="15" w:name="_Toc67318051"/>
      <w:bookmarkEnd w:id="15"/>
      <w:bookmarkStart w:id="16" w:name="_Toc67318052"/>
      <w:r>
        <w:rPr>
          <w:rFonts w:hint="eastAsia"/>
        </w:rPr>
        <w:t>施工注意事项</w:t>
      </w:r>
      <w:bookmarkEnd w:id="16"/>
    </w:p>
    <w:p>
      <w:pPr>
        <w:ind w:firstLine="480"/>
      </w:pPr>
      <w:r>
        <w:rPr>
          <w:rFonts w:hint="eastAsia"/>
        </w:rPr>
        <w:t>（1） 在施工前应复核本次设计排水管道接入及排出点的排水管道位置及标高，如发现与实际不符不能接入时应及时通知设计人员复核并进行相应更改。</w:t>
      </w:r>
    </w:p>
    <w:p>
      <w:pPr>
        <w:ind w:firstLine="480"/>
      </w:pPr>
      <w:r>
        <w:rPr>
          <w:rFonts w:hint="eastAsia"/>
        </w:rPr>
        <w:t>（2） 开挖前应探明开挖范围内现状地下管线及构筑物分布，确保开挖施工不破坏现状地下管线及构筑物之后方可开挖。</w:t>
      </w:r>
    </w:p>
    <w:p>
      <w:pPr>
        <w:ind w:firstLine="480"/>
      </w:pPr>
      <w:r>
        <w:rPr>
          <w:rFonts w:hint="eastAsia"/>
        </w:rPr>
        <w:t>（3） 图中标注的管线长度均为理论平面长度，施工时应以实测为准。</w:t>
      </w:r>
    </w:p>
    <w:p>
      <w:pPr>
        <w:ind w:firstLine="480"/>
      </w:pPr>
      <w:r>
        <w:rPr>
          <w:rFonts w:hint="eastAsia"/>
        </w:rPr>
        <w:t>（4） 若无特别注明，管道及构筑物基础的承载力应不小于100Kpa，若不能满足要求，则应对地基进行处理。</w:t>
      </w:r>
    </w:p>
    <w:p>
      <w:pPr>
        <w:ind w:firstLine="480"/>
      </w:pPr>
      <w:r>
        <w:rPr>
          <w:rFonts w:hint="eastAsia"/>
        </w:rPr>
        <w:t>（5） 施工前应校测已建各种管道的断面、高程和位置，确保满足接入条件后方可施工。若开挖中发现图中未示意的排水管道，应通知业主和监理，并联系设计人员共同研究解决。</w:t>
      </w:r>
    </w:p>
    <w:p>
      <w:pPr>
        <w:ind w:firstLine="480"/>
      </w:pPr>
      <w:r>
        <w:rPr>
          <w:rFonts w:hint="eastAsia"/>
        </w:rPr>
        <w:t>（6） 检查井面标高应根据实际路面标高合理调整，保持与完成后路面齐平。当井面实际标高与设计标高有较大出入时，应及时通知设计人员进行复核。</w:t>
      </w:r>
    </w:p>
    <w:p>
      <w:pPr>
        <w:ind w:firstLine="480"/>
      </w:pPr>
      <w:r>
        <w:rPr>
          <w:rFonts w:hint="eastAsia"/>
        </w:rPr>
        <w:t>（7） 沟槽回填应在水泥砂浆和混凝土强度达到设计强度的75%后进行，并要求对称进行，其密实度与路基要求一致。回填材料和回填方式应符合上述GB50268-2008规范和CECS164：2004-规程的要求。</w:t>
      </w:r>
    </w:p>
    <w:p>
      <w:pPr>
        <w:ind w:firstLine="480"/>
      </w:pPr>
      <w:r>
        <w:rPr>
          <w:rFonts w:hint="eastAsia"/>
        </w:rPr>
        <w:t>（8） 施工中，应按有关规范要求做足安全措施，做好井外的防水，防止雨水从路面倒灌入井内，井口应设置围栏，井下通讯联络要畅通，施工时保证井口有人。井下的工作人员必须经常注意观察，检查井下是否存在塌方、涌水和流砂现象以及空气和水的污染情况。如发现异常情况应停止作业并报告上级，及时处理。</w:t>
      </w:r>
    </w:p>
    <w:p>
      <w:pPr>
        <w:ind w:firstLine="480"/>
      </w:pPr>
      <w:r>
        <w:rPr>
          <w:rFonts w:hint="eastAsia"/>
        </w:rPr>
        <w:t>（9） 给排水管道工程施工现场的坑、洞、等危险处，必须设置防护设施和明显的警示标志，不准任意移动或拆除。管道装卸及堆放时，必须设置防止管道滚动的定位块；在管槽内下管时，所用索具要牢固，管槽内不得有人。</w:t>
      </w:r>
    </w:p>
    <w:p>
      <w:pPr>
        <w:ind w:firstLine="480"/>
      </w:pPr>
      <w:r>
        <w:rPr>
          <w:rFonts w:hint="eastAsia"/>
        </w:rPr>
        <w:t>（10） 施工现场采用围蔽施工，围蔽设施必须安全牢靠，并在外面设定警示标志，防止非有关人员进入、防止外来车辆失控闯入。</w:t>
      </w:r>
    </w:p>
    <w:p>
      <w:pPr>
        <w:ind w:firstLine="480"/>
      </w:pPr>
      <w:r>
        <w:rPr>
          <w:rFonts w:hint="eastAsia"/>
        </w:rPr>
        <w:t>（11） 回填土必须在结构构件自身强度满足要求时才能开始，回填时应对称、分层压实或夯实，防止土压不平衡导致结构构件破坏；同时，应防止施工机械因回填土松软，造成机械倾覆等安全事故。</w:t>
      </w:r>
    </w:p>
    <w:p>
      <w:pPr>
        <w:ind w:firstLine="480"/>
      </w:pPr>
      <w:r>
        <w:rPr>
          <w:rFonts w:hint="eastAsia"/>
        </w:rPr>
        <w:t>（12） 施工中当遇到给水管道与排水管道垂直交叉时，为确保供水水质安全，必须坚持给水管道在上，排水管在下的原则</w:t>
      </w:r>
    </w:p>
    <w:p>
      <w:pPr>
        <w:ind w:firstLine="480"/>
      </w:pPr>
      <w:r>
        <w:rPr>
          <w:rFonts w:hint="eastAsia"/>
        </w:rPr>
        <w:t>（13） 给排水管道工程施工期间应合理安排临时导水和排水设施，确保施工期间排水顺</w:t>
      </w:r>
      <w:r>
        <w:rPr>
          <w:rFonts w:hint="eastAsia"/>
          <w:lang w:val="en-US" w:eastAsia="zh-CN"/>
        </w:rPr>
        <w:t>+</w:t>
      </w:r>
      <w:r>
        <w:rPr>
          <w:rFonts w:hint="eastAsia"/>
        </w:rPr>
        <w:t>畅。排水工程因接触污水、污泥等污染物，应注意卫生措施，避免影响身体健康。</w:t>
      </w:r>
    </w:p>
    <w:p>
      <w:pPr>
        <w:ind w:firstLine="480"/>
      </w:pPr>
      <w:r>
        <w:rPr>
          <w:rFonts w:hint="eastAsia"/>
        </w:rPr>
        <w:t>（14） 给排水管道工程的施工应按设计及相关规范、规程要求进行，遵守有关施工安全、劳动保护、防火、防毒的法律、法规，建立安全管理体系和安全生产责任制，确保安全施工。</w:t>
      </w:r>
    </w:p>
    <w:p>
      <w:pPr>
        <w:ind w:firstLine="480"/>
      </w:pPr>
      <w:r>
        <w:rPr>
          <w:rFonts w:hint="eastAsia"/>
        </w:rPr>
        <w:t>（15） 施工影响范围存在现状管线或相距地下管线较近时，须会同相关单位对现有管线采取有效的保护措施、或制定可行的改线和迁移方案。</w:t>
      </w:r>
    </w:p>
    <w:p>
      <w:pPr>
        <w:ind w:firstLine="480"/>
      </w:pPr>
      <w:r>
        <w:rPr>
          <w:rFonts w:hint="eastAsia"/>
        </w:rPr>
        <w:t>（16） 施工中给排水管道敷设位置与房屋建筑距离较近时，应对房屋建筑进行鉴定，根据需要采取房屋保护措施，确保安全方可施工。</w:t>
      </w:r>
    </w:p>
    <w:p>
      <w:pPr>
        <w:ind w:firstLine="480"/>
      </w:pPr>
      <w:r>
        <w:rPr>
          <w:rFonts w:hint="eastAsia"/>
        </w:rPr>
        <w:t>（17） 本工程施工应严格遵循现行有关施工验收规范和技术规程办理。</w:t>
      </w:r>
    </w:p>
    <w:p>
      <w:pPr>
        <w:ind w:firstLine="480"/>
      </w:pPr>
      <w:r>
        <w:rPr>
          <w:rFonts w:hint="eastAsia"/>
        </w:rPr>
        <w:t>（18） 其余未尽事宜按国家现行规范和标准执行。</w:t>
      </w:r>
    </w:p>
    <w:p>
      <w:pPr>
        <w:pStyle w:val="42"/>
      </w:pPr>
      <w:r>
        <w:rPr>
          <w:rFonts w:hint="eastAsia"/>
        </w:rPr>
        <w:t>排水管道验收</w:t>
      </w:r>
    </w:p>
    <w:p>
      <w:pPr>
        <w:ind w:firstLine="480"/>
      </w:pPr>
      <w:r>
        <w:rPr>
          <w:rFonts w:hint="eastAsia"/>
        </w:rPr>
        <w:t>（1）</w:t>
      </w:r>
      <w:r>
        <w:t>闭水试验：污水、雨污合流管道及湿陷土、膨胀土、流砂地区的雨水管道，必须经严密性试验合格后方可投入运行；具体要求按照《给水排水管道工程施工及验收规范》（GB50268-2008）等现行规程规范要求进行。</w:t>
      </w:r>
    </w:p>
    <w:p>
      <w:pPr>
        <w:ind w:firstLine="480"/>
      </w:pPr>
      <w:r>
        <w:rPr>
          <w:rFonts w:hint="eastAsia"/>
        </w:rPr>
        <w:t>（2）</w:t>
      </w:r>
      <w:r>
        <w:t>CCTV 检测：污水管道验收前须进行 CCTV 专项检测，检测方法按《城镇排水管道检测与评估技术规程》(CJJ 181-2012)、《给水排水管道工程施工及验收规范》(GB 50268-2008)等现行规程规范要求进行。</w:t>
      </w:r>
    </w:p>
    <w:p>
      <w:pPr>
        <w:ind w:firstLine="480"/>
      </w:pPr>
      <w:r>
        <w:rPr>
          <w:rFonts w:hint="eastAsia"/>
        </w:rPr>
        <w:t>（3）</w:t>
      </w:r>
      <w:r>
        <w:t>本工程排水管道施工完毕后按《给排水管道工程施工及验收规范》（GB50268-2008）和《给水排水构筑物工程施工及验收规范》（GB 50141－2008）进行施工验收。</w:t>
      </w:r>
    </w:p>
    <w:sectPr>
      <w:headerReference r:id="rId7" w:type="first"/>
      <w:footerReference r:id="rId10" w:type="first"/>
      <w:headerReference r:id="rId5" w:type="default"/>
      <w:footerReference r:id="rId8" w:type="default"/>
      <w:headerReference r:id="rId6" w:type="even"/>
      <w:footerReference r:id="rId9" w:type="even"/>
      <w:pgSz w:w="23814" w:h="16839" w:orient="landscape"/>
      <w:pgMar w:top="1797" w:right="1440" w:bottom="1440" w:left="1440" w:header="851" w:footer="992" w:gutter="0"/>
      <w:cols w:space="1136" w:num="2"/>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dobe 楷体 Std R">
    <w:altName w:val="宋体"/>
    <w:panose1 w:val="00000000000000000000"/>
    <w:charset w:val="86"/>
    <w:family w:val="roman"/>
    <w:pitch w:val="default"/>
    <w:sig w:usb0="00000000" w:usb1="00000000" w:usb2="00000016" w:usb3="00000000" w:csb0="00060007"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1230653"/>
    </w:sdtPr>
    <w:sdtContent>
      <w:p>
        <w:pPr>
          <w:pStyle w:val="19"/>
          <w:ind w:firstLine="360"/>
          <w:jc w:val="center"/>
        </w:pPr>
        <w:r>
          <w:drawing>
            <wp:anchor distT="0" distB="0" distL="114300" distR="114300" simplePos="0" relativeHeight="251663360" behindDoc="1" locked="0" layoutInCell="1" allowOverlap="1">
              <wp:simplePos x="0" y="0"/>
              <wp:positionH relativeFrom="column">
                <wp:posOffset>7000875</wp:posOffset>
              </wp:positionH>
              <wp:positionV relativeFrom="paragraph">
                <wp:posOffset>22225</wp:posOffset>
              </wp:positionV>
              <wp:extent cx="1011555" cy="441325"/>
              <wp:effectExtent l="0" t="0" r="17145" b="15875"/>
              <wp:wrapThrough wrapText="bothSides">
                <wp:wrapPolygon>
                  <wp:start x="0" y="0"/>
                  <wp:lineTo x="0" y="20512"/>
                  <wp:lineTo x="21153" y="20512"/>
                  <wp:lineTo x="21153" y="0"/>
                  <wp:lineTo x="0" y="0"/>
                </wp:wrapPolygon>
              </wp:wrapThrough>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stretch>
                        <a:fillRect/>
                      </a:stretch>
                    </pic:blipFill>
                    <pic:spPr>
                      <a:xfrm>
                        <a:off x="0" y="0"/>
                        <a:ext cx="1011555" cy="441325"/>
                      </a:xfrm>
                      <a:prstGeom prst="rect">
                        <a:avLst/>
                      </a:prstGeom>
                      <a:noFill/>
                      <a:ln>
                        <a:noFill/>
                      </a:ln>
                    </pic:spPr>
                  </pic:pic>
                </a:graphicData>
              </a:graphic>
            </wp:anchor>
          </w:drawing>
        </w:r>
        <w:r>
          <w:drawing>
            <wp:anchor distT="0" distB="0" distL="114300" distR="114300" simplePos="0" relativeHeight="251662336" behindDoc="1" locked="0" layoutInCell="1" allowOverlap="1">
              <wp:simplePos x="0" y="0"/>
              <wp:positionH relativeFrom="column">
                <wp:posOffset>4911090</wp:posOffset>
              </wp:positionH>
              <wp:positionV relativeFrom="paragraph">
                <wp:posOffset>-38100</wp:posOffset>
              </wp:positionV>
              <wp:extent cx="1323340" cy="486410"/>
              <wp:effectExtent l="0" t="0" r="48260" b="46990"/>
              <wp:wrapThrough wrapText="bothSides">
                <wp:wrapPolygon>
                  <wp:start x="0" y="0"/>
                  <wp:lineTo x="0" y="20444"/>
                  <wp:lineTo x="21144" y="20444"/>
                  <wp:lineTo x="21144" y="0"/>
                  <wp:lineTo x="0" y="0"/>
                </wp:wrapPolygon>
              </wp:wrapThrough>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
                      <a:stretch>
                        <a:fillRect/>
                      </a:stretch>
                    </pic:blipFill>
                    <pic:spPr>
                      <a:xfrm>
                        <a:off x="0" y="0"/>
                        <a:ext cx="1323340" cy="486410"/>
                      </a:xfrm>
                      <a:prstGeom prst="rect">
                        <a:avLst/>
                      </a:prstGeom>
                      <a:noFill/>
                      <a:ln>
                        <a:noFill/>
                      </a:ln>
                    </pic:spPr>
                  </pic:pic>
                </a:graphicData>
              </a:graphic>
            </wp:anchor>
          </w:drawing>
        </w:r>
        <w:r>
          <w:drawing>
            <wp:anchor distT="0" distB="0" distL="114300" distR="114300" simplePos="0" relativeHeight="251661312" behindDoc="1" locked="0" layoutInCell="1" allowOverlap="1">
              <wp:simplePos x="0" y="0"/>
              <wp:positionH relativeFrom="column">
                <wp:posOffset>3105150</wp:posOffset>
              </wp:positionH>
              <wp:positionV relativeFrom="paragraph">
                <wp:posOffset>18415</wp:posOffset>
              </wp:positionV>
              <wp:extent cx="1054735" cy="438785"/>
              <wp:effectExtent l="0" t="0" r="12065" b="18415"/>
              <wp:wrapThrough wrapText="bothSides">
                <wp:wrapPolygon>
                  <wp:start x="0" y="0"/>
                  <wp:lineTo x="0" y="20631"/>
                  <wp:lineTo x="21067" y="20631"/>
                  <wp:lineTo x="21067" y="0"/>
                  <wp:lineTo x="0" y="0"/>
                </wp:wrapPolygon>
              </wp:wrapThrough>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
                      <a:stretch>
                        <a:fillRect/>
                      </a:stretch>
                    </pic:blipFill>
                    <pic:spPr>
                      <a:xfrm>
                        <a:off x="0" y="0"/>
                        <a:ext cx="1054735" cy="438785"/>
                      </a:xfrm>
                      <a:prstGeom prst="rect">
                        <a:avLst/>
                      </a:prstGeom>
                      <a:noFill/>
                      <a:ln>
                        <a:noFill/>
                      </a:ln>
                    </pic:spPr>
                  </pic:pic>
                </a:graphicData>
              </a:graphic>
            </wp:anchor>
          </w:drawing>
        </w:r>
        <w:r>
          <w:rPr>
            <w:rFonts w:hint="eastAsia" w:ascii="宋体" w:hAnsi="MS Sans Serif" w:eastAsia="宋体"/>
            <w:kern w:val="0"/>
            <w:sz w:val="28"/>
            <w:szCs w:val="32"/>
            <w:lang w:eastAsia="zh-CN"/>
          </w:rPr>
          <w:drawing>
            <wp:anchor distT="0" distB="0" distL="114300" distR="114300" simplePos="0" relativeHeight="251659264" behindDoc="1" locked="0" layoutInCell="1" allowOverlap="1">
              <wp:simplePos x="0" y="0"/>
              <wp:positionH relativeFrom="column">
                <wp:posOffset>10458450</wp:posOffset>
              </wp:positionH>
              <wp:positionV relativeFrom="paragraph">
                <wp:posOffset>114300</wp:posOffset>
              </wp:positionV>
              <wp:extent cx="2889250" cy="467995"/>
              <wp:effectExtent l="0" t="0" r="6350" b="8255"/>
              <wp:wrapThrough wrapText="bothSides">
                <wp:wrapPolygon>
                  <wp:start x="0" y="0"/>
                  <wp:lineTo x="0" y="20398"/>
                  <wp:lineTo x="21505" y="20398"/>
                  <wp:lineTo x="21505" y="0"/>
                  <wp:lineTo x="0" y="0"/>
                </wp:wrapPolygon>
              </wp:wrapThrough>
              <wp:docPr id="50" name="图片 1" descr="广州市城建规划设计院有限公司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descr="广州市城建规划设计院有限公司6"/>
                      <pic:cNvPicPr>
                        <a:picLocks noChangeAspect="1"/>
                      </pic:cNvPicPr>
                    </pic:nvPicPr>
                    <pic:blipFill>
                      <a:blip r:embed="rId4"/>
                      <a:srcRect t="39967" b="39771"/>
                      <a:stretch>
                        <a:fillRect/>
                      </a:stretch>
                    </pic:blipFill>
                    <pic:spPr>
                      <a:xfrm>
                        <a:off x="0" y="0"/>
                        <a:ext cx="2889250" cy="467995"/>
                      </a:xfrm>
                      <a:prstGeom prst="rect">
                        <a:avLst/>
                      </a:prstGeom>
                      <a:noFill/>
                      <a:ln>
                        <a:noFill/>
                      </a:ln>
                    </pic:spPr>
                  </pic:pic>
                </a:graphicData>
              </a:graphic>
            </wp:anchor>
          </w:drawing>
        </w:r>
      </w:p>
    </w:sdtContent>
  </w:sdt>
  <w:p>
    <w:pPr>
      <w:pStyle w:val="19"/>
      <w:ind w:firstLine="420"/>
      <w:rPr>
        <w:rFonts w:hint="eastAsia" w:eastAsiaTheme="minorEastAsia"/>
        <w:lang w:eastAsia="zh-CN"/>
      </w:rPr>
    </w:pPr>
    <w:r>
      <w:rPr>
        <w:rFonts w:hint="eastAsia"/>
        <w:position w:val="30"/>
        <w:sz w:val="21"/>
      </w:rPr>
      <w:t xml:space="preserve">审定：祝雄涛  </w:t>
    </w:r>
    <w:r>
      <w:drawing>
        <wp:anchor distT="0" distB="0" distL="114300" distR="114300" simplePos="0" relativeHeight="251660288" behindDoc="1" locked="0" layoutInCell="1" allowOverlap="1">
          <wp:simplePos x="0" y="0"/>
          <wp:positionH relativeFrom="column">
            <wp:posOffset>1200150</wp:posOffset>
          </wp:positionH>
          <wp:positionV relativeFrom="paragraph">
            <wp:posOffset>-94615</wp:posOffset>
          </wp:positionV>
          <wp:extent cx="1021080" cy="412115"/>
          <wp:effectExtent l="0" t="0" r="7620" b="6985"/>
          <wp:wrapThrough wrapText="bothSides">
            <wp:wrapPolygon>
              <wp:start x="0" y="0"/>
              <wp:lineTo x="0" y="20968"/>
              <wp:lineTo x="21358" y="20968"/>
              <wp:lineTo x="21358" y="0"/>
              <wp:lineTo x="0" y="0"/>
            </wp:wrapPolygon>
          </wp:wrapThrough>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021080" cy="412115"/>
                  </a:xfrm>
                  <a:prstGeom prst="rect">
                    <a:avLst/>
                  </a:prstGeom>
                  <a:noFill/>
                  <a:ln>
                    <a:noFill/>
                  </a:ln>
                </pic:spPr>
              </pic:pic>
            </a:graphicData>
          </a:graphic>
        </wp:anchor>
      </w:drawing>
    </w:r>
    <w:r>
      <w:rPr>
        <w:rFonts w:hint="eastAsia"/>
        <w:position w:val="30"/>
        <w:sz w:val="21"/>
      </w:rPr>
      <w:t xml:space="preserve">                审核：林程磐              </w:t>
    </w:r>
    <w:r>
      <w:rPr>
        <w:rFonts w:hint="eastAsia"/>
        <w:position w:val="30"/>
        <w:sz w:val="21"/>
        <w:lang w:val="en-US" w:eastAsia="zh-CN"/>
      </w:rPr>
      <w:t xml:space="preserve">  </w:t>
    </w:r>
    <w:r>
      <w:rPr>
        <w:rFonts w:hint="eastAsia"/>
        <w:position w:val="30"/>
        <w:sz w:val="21"/>
      </w:rPr>
      <w:t>校核：</w:t>
    </w:r>
    <w:r>
      <w:rPr>
        <w:rFonts w:hint="eastAsia"/>
        <w:position w:val="30"/>
        <w:sz w:val="21"/>
        <w:lang w:val="en-US" w:eastAsia="zh-CN"/>
      </w:rPr>
      <w:t>黄华骏</w:t>
    </w:r>
    <w:r>
      <w:rPr>
        <w:rFonts w:hint="eastAsia"/>
        <w:position w:val="30"/>
        <w:sz w:val="21"/>
      </w:rPr>
      <w:t xml:space="preserve">        </w:t>
    </w:r>
    <w:r>
      <w:rPr>
        <w:rFonts w:hint="eastAsia"/>
        <w:position w:val="30"/>
        <w:sz w:val="21"/>
        <w:lang w:val="en-US" w:eastAsia="zh-CN"/>
      </w:rPr>
      <w:t xml:space="preserve">          </w:t>
    </w:r>
    <w:r>
      <w:rPr>
        <w:rFonts w:hint="eastAsia"/>
        <w:position w:val="30"/>
        <w:sz w:val="21"/>
      </w:rPr>
      <w:t xml:space="preserve"> 编制：</w:t>
    </w:r>
    <w:r>
      <w:rPr>
        <w:rFonts w:hint="eastAsia"/>
        <w:position w:val="30"/>
        <w:sz w:val="21"/>
        <w:lang w:val="en-US" w:eastAsia="zh-CN"/>
      </w:rPr>
      <w:t>温啟贤</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6" w:space="0"/>
      </w:pBdr>
      <w:wordWrap w:val="0"/>
      <w:ind w:firstLine="420"/>
      <w:jc w:val="right"/>
      <w:rPr>
        <w:sz w:val="21"/>
        <w:szCs w:val="21"/>
      </w:rPr>
    </w:pPr>
    <w:r>
      <w:rPr>
        <w:rFonts w:hint="eastAsia"/>
        <w:sz w:val="21"/>
        <w:szCs w:val="21"/>
      </w:rPr>
      <w:t>从化区城鳌大道污水管及周边污水支管完善工程              施工图设计说明                                图号：PS-S</w:t>
    </w:r>
    <w:r>
      <w:rPr>
        <w:rFonts w:hint="eastAsia"/>
        <w:sz w:val="21"/>
        <w:szCs w:val="21"/>
        <w:lang w:val="en-US" w:eastAsia="zh-CN"/>
      </w:rPr>
      <w:t>1</w:t>
    </w:r>
    <w:r>
      <w:rPr>
        <w:rFonts w:hint="eastAsia"/>
        <w:sz w:val="21"/>
        <w:szCs w:val="21"/>
      </w:rPr>
      <w:t>-SM</w:t>
    </w:r>
    <w:r>
      <w:rPr>
        <w:rFonts w:hint="eastAsia" w:ascii="Times New Roman" w:hAnsi="Times New Roman" w:cs="Times New Roman"/>
        <w:sz w:val="21"/>
        <w:szCs w:val="21"/>
      </w:rPr>
      <w:t>-</w:t>
    </w:r>
    <w:r>
      <w:rPr>
        <w:rFonts w:ascii="Times New Roman" w:hAnsi="Times New Roman" w:cs="Times New Roman"/>
        <w:sz w:val="21"/>
        <w:szCs w:val="21"/>
      </w:rPr>
      <w:fldChar w:fldCharType="begin"/>
    </w:r>
    <w:r>
      <w:rPr>
        <w:rFonts w:ascii="Times New Roman" w:hAnsi="Times New Roman" w:cs="Times New Roman"/>
        <w:sz w:val="21"/>
        <w:szCs w:val="21"/>
      </w:rPr>
      <w:instrText xml:space="preserve">PAGE</w:instrText>
    </w:r>
    <w:r>
      <w:rPr>
        <w:rFonts w:ascii="Times New Roman" w:hAnsi="Times New Roman" w:cs="Times New Roman"/>
        <w:sz w:val="21"/>
        <w:szCs w:val="21"/>
      </w:rPr>
      <w:fldChar w:fldCharType="separate"/>
    </w:r>
    <w:r>
      <w:rPr>
        <w:rFonts w:ascii="Times New Roman" w:hAnsi="Times New Roman" w:cs="Times New Roman"/>
        <w:sz w:val="21"/>
        <w:szCs w:val="21"/>
      </w:rPr>
      <w:t>10</w:t>
    </w:r>
    <w:r>
      <w:rPr>
        <w:rFonts w:ascii="Times New Roman" w:hAnsi="Times New Roman" w:cs="Times New Roman"/>
        <w:sz w:val="21"/>
        <w:szCs w:val="21"/>
      </w:rPr>
      <w:fldChar w:fldCharType="end"/>
    </w:r>
    <w:r>
      <w:rPr>
        <w:rFonts w:ascii="Times New Roman" w:hAnsi="Times New Roman" w:cs="Times New Roman"/>
        <w:sz w:val="21"/>
        <w:szCs w:val="21"/>
      </w:rPr>
      <w:t>/</w:t>
    </w:r>
    <w:r>
      <w:rPr>
        <w:rFonts w:ascii="Times New Roman" w:hAnsi="Times New Roman" w:cs="Times New Roman"/>
        <w:sz w:val="21"/>
        <w:szCs w:val="21"/>
      </w:rPr>
      <w:fldChar w:fldCharType="begin"/>
    </w:r>
    <w:r>
      <w:rPr>
        <w:rFonts w:ascii="Times New Roman" w:hAnsi="Times New Roman" w:cs="Times New Roman"/>
        <w:sz w:val="21"/>
        <w:szCs w:val="21"/>
      </w:rPr>
      <w:instrText xml:space="preserve">NUMPAGES</w:instrText>
    </w:r>
    <w:r>
      <w:rPr>
        <w:rFonts w:ascii="Times New Roman" w:hAnsi="Times New Roman" w:cs="Times New Roman"/>
        <w:sz w:val="21"/>
        <w:szCs w:val="21"/>
      </w:rPr>
      <w:fldChar w:fldCharType="separate"/>
    </w:r>
    <w:r>
      <w:rPr>
        <w:rFonts w:ascii="Times New Roman" w:hAnsi="Times New Roman" w:cs="Times New Roman"/>
        <w:sz w:val="21"/>
        <w:szCs w:val="21"/>
      </w:rPr>
      <w:t>10</w:t>
    </w:r>
    <w:r>
      <w:rPr>
        <w:rFonts w:ascii="Times New Roman" w:hAnsi="Times New Roman" w:cs="Times New Roman"/>
        <w:sz w:val="21"/>
        <w:szCs w:val="21"/>
      </w:rPr>
      <w:fldChar w:fldCharType="end"/>
    </w:r>
    <w:r>
      <w:rPr>
        <w:rFonts w:hint="eastAsia"/>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B4CEF"/>
    <w:multiLevelType w:val="multilevel"/>
    <w:tmpl w:val="058B4CEF"/>
    <w:lvl w:ilvl="0" w:tentative="0">
      <w:start w:val="1"/>
      <w:numFmt w:val="decimal"/>
      <w:pStyle w:val="42"/>
      <w:lvlText w:val="%1."/>
      <w:lvlJc w:val="left"/>
      <w:pPr>
        <w:ind w:left="420" w:hanging="420"/>
      </w:pPr>
      <w:rPr>
        <w:rFonts w:hint="eastAsia"/>
      </w:rPr>
    </w:lvl>
    <w:lvl w:ilvl="1" w:tentative="0">
      <w:start w:val="1"/>
      <w:numFmt w:val="decimal"/>
      <w:pStyle w:val="43"/>
      <w:lvlText w:val="%1.%2"/>
      <w:lvlJc w:val="left"/>
      <w:pPr>
        <w:ind w:left="567" w:hanging="567"/>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pStyle w:val="45"/>
      <w:lvlText w:val="%1.%2.%3"/>
      <w:lvlJc w:val="left"/>
      <w:pPr>
        <w:ind w:left="1418" w:hanging="567"/>
      </w:pPr>
      <w:rPr>
        <w:rFonts w:hint="eastAsia"/>
      </w:rPr>
    </w:lvl>
    <w:lvl w:ilvl="3" w:tentative="0">
      <w:start w:val="1"/>
      <w:numFmt w:val="decimal"/>
      <w:pStyle w:val="46"/>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B6C6EA6"/>
    <w:multiLevelType w:val="multilevel"/>
    <w:tmpl w:val="6B6C6EA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308"/>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4ZWU1MmY2MTE0ZWI4ODgyOTY5MDY2MmY1OTBmZWUifQ=="/>
  </w:docVars>
  <w:rsids>
    <w:rsidRoot w:val="00B373A3"/>
    <w:rsid w:val="000006D1"/>
    <w:rsid w:val="00000F32"/>
    <w:rsid w:val="00004317"/>
    <w:rsid w:val="00005D8F"/>
    <w:rsid w:val="0000684F"/>
    <w:rsid w:val="00007851"/>
    <w:rsid w:val="00010ACD"/>
    <w:rsid w:val="00011887"/>
    <w:rsid w:val="000121E1"/>
    <w:rsid w:val="000128F0"/>
    <w:rsid w:val="000138E6"/>
    <w:rsid w:val="00013BDB"/>
    <w:rsid w:val="00014529"/>
    <w:rsid w:val="000225BD"/>
    <w:rsid w:val="00022B3A"/>
    <w:rsid w:val="00023A6F"/>
    <w:rsid w:val="00023D93"/>
    <w:rsid w:val="000277F0"/>
    <w:rsid w:val="00027F0E"/>
    <w:rsid w:val="00034269"/>
    <w:rsid w:val="000351DD"/>
    <w:rsid w:val="000364A4"/>
    <w:rsid w:val="00037974"/>
    <w:rsid w:val="000406A1"/>
    <w:rsid w:val="00041550"/>
    <w:rsid w:val="000421B9"/>
    <w:rsid w:val="000426A7"/>
    <w:rsid w:val="000426F3"/>
    <w:rsid w:val="00043B45"/>
    <w:rsid w:val="00044DE9"/>
    <w:rsid w:val="00045887"/>
    <w:rsid w:val="00045919"/>
    <w:rsid w:val="00045AD2"/>
    <w:rsid w:val="0004601C"/>
    <w:rsid w:val="0004774C"/>
    <w:rsid w:val="00050429"/>
    <w:rsid w:val="0005044B"/>
    <w:rsid w:val="000513C7"/>
    <w:rsid w:val="000527B1"/>
    <w:rsid w:val="0005435D"/>
    <w:rsid w:val="00056401"/>
    <w:rsid w:val="000579F1"/>
    <w:rsid w:val="00060608"/>
    <w:rsid w:val="00060BF3"/>
    <w:rsid w:val="00060C1D"/>
    <w:rsid w:val="0006104E"/>
    <w:rsid w:val="00061FE1"/>
    <w:rsid w:val="000638CF"/>
    <w:rsid w:val="00064DCF"/>
    <w:rsid w:val="00066C2B"/>
    <w:rsid w:val="00071BBD"/>
    <w:rsid w:val="00072F75"/>
    <w:rsid w:val="000754B9"/>
    <w:rsid w:val="00075918"/>
    <w:rsid w:val="00075CE9"/>
    <w:rsid w:val="00075D92"/>
    <w:rsid w:val="00084A12"/>
    <w:rsid w:val="00085340"/>
    <w:rsid w:val="00085C99"/>
    <w:rsid w:val="0008643F"/>
    <w:rsid w:val="000916C3"/>
    <w:rsid w:val="000919EE"/>
    <w:rsid w:val="00091BA2"/>
    <w:rsid w:val="00091EA0"/>
    <w:rsid w:val="000928F0"/>
    <w:rsid w:val="00092FF3"/>
    <w:rsid w:val="0009452B"/>
    <w:rsid w:val="00094722"/>
    <w:rsid w:val="00094A47"/>
    <w:rsid w:val="000952AB"/>
    <w:rsid w:val="000953A7"/>
    <w:rsid w:val="000966C3"/>
    <w:rsid w:val="00096BF0"/>
    <w:rsid w:val="00096D08"/>
    <w:rsid w:val="00097646"/>
    <w:rsid w:val="000A099E"/>
    <w:rsid w:val="000A1076"/>
    <w:rsid w:val="000A1133"/>
    <w:rsid w:val="000A19F9"/>
    <w:rsid w:val="000A3431"/>
    <w:rsid w:val="000A3FEA"/>
    <w:rsid w:val="000A4289"/>
    <w:rsid w:val="000A66DB"/>
    <w:rsid w:val="000A6EB9"/>
    <w:rsid w:val="000A7048"/>
    <w:rsid w:val="000A73F2"/>
    <w:rsid w:val="000A7727"/>
    <w:rsid w:val="000A7A6A"/>
    <w:rsid w:val="000B0536"/>
    <w:rsid w:val="000B133C"/>
    <w:rsid w:val="000B14CE"/>
    <w:rsid w:val="000B28A3"/>
    <w:rsid w:val="000B3978"/>
    <w:rsid w:val="000B3B0C"/>
    <w:rsid w:val="000C02BD"/>
    <w:rsid w:val="000C0D5E"/>
    <w:rsid w:val="000C12C3"/>
    <w:rsid w:val="000C1813"/>
    <w:rsid w:val="000C195D"/>
    <w:rsid w:val="000C1C13"/>
    <w:rsid w:val="000C25CB"/>
    <w:rsid w:val="000C4A4A"/>
    <w:rsid w:val="000C5166"/>
    <w:rsid w:val="000D1B26"/>
    <w:rsid w:val="000D4198"/>
    <w:rsid w:val="000D4358"/>
    <w:rsid w:val="000D44C9"/>
    <w:rsid w:val="000D4552"/>
    <w:rsid w:val="000D47D4"/>
    <w:rsid w:val="000D5064"/>
    <w:rsid w:val="000D6BBB"/>
    <w:rsid w:val="000D7837"/>
    <w:rsid w:val="000E4EA8"/>
    <w:rsid w:val="000E736F"/>
    <w:rsid w:val="000E7E1B"/>
    <w:rsid w:val="000F03D1"/>
    <w:rsid w:val="000F2DFE"/>
    <w:rsid w:val="000F337E"/>
    <w:rsid w:val="000F380F"/>
    <w:rsid w:val="00102516"/>
    <w:rsid w:val="00102BA2"/>
    <w:rsid w:val="00104622"/>
    <w:rsid w:val="00105376"/>
    <w:rsid w:val="0010601D"/>
    <w:rsid w:val="00107A05"/>
    <w:rsid w:val="00110449"/>
    <w:rsid w:val="00110897"/>
    <w:rsid w:val="00110D84"/>
    <w:rsid w:val="00112A72"/>
    <w:rsid w:val="00112D84"/>
    <w:rsid w:val="00112FA2"/>
    <w:rsid w:val="00113566"/>
    <w:rsid w:val="0011541E"/>
    <w:rsid w:val="001154A2"/>
    <w:rsid w:val="00115AC6"/>
    <w:rsid w:val="00115D87"/>
    <w:rsid w:val="00120907"/>
    <w:rsid w:val="001227AA"/>
    <w:rsid w:val="00131E03"/>
    <w:rsid w:val="00135704"/>
    <w:rsid w:val="001421EB"/>
    <w:rsid w:val="001429BA"/>
    <w:rsid w:val="00147C16"/>
    <w:rsid w:val="00150F65"/>
    <w:rsid w:val="00153E3D"/>
    <w:rsid w:val="00154B50"/>
    <w:rsid w:val="0015542B"/>
    <w:rsid w:val="00156C0E"/>
    <w:rsid w:val="001606C8"/>
    <w:rsid w:val="00161060"/>
    <w:rsid w:val="00162D80"/>
    <w:rsid w:val="00163305"/>
    <w:rsid w:val="00163360"/>
    <w:rsid w:val="00163969"/>
    <w:rsid w:val="001641D9"/>
    <w:rsid w:val="00165A5B"/>
    <w:rsid w:val="00166191"/>
    <w:rsid w:val="0016650A"/>
    <w:rsid w:val="0016798B"/>
    <w:rsid w:val="00171BCF"/>
    <w:rsid w:val="00174260"/>
    <w:rsid w:val="00174901"/>
    <w:rsid w:val="00175BE7"/>
    <w:rsid w:val="00181831"/>
    <w:rsid w:val="00183AEC"/>
    <w:rsid w:val="00184866"/>
    <w:rsid w:val="00185BD0"/>
    <w:rsid w:val="00190871"/>
    <w:rsid w:val="00190ADC"/>
    <w:rsid w:val="00191A60"/>
    <w:rsid w:val="001931C9"/>
    <w:rsid w:val="00193CA7"/>
    <w:rsid w:val="001972D2"/>
    <w:rsid w:val="001977B3"/>
    <w:rsid w:val="001A2812"/>
    <w:rsid w:val="001A2AC5"/>
    <w:rsid w:val="001A75B0"/>
    <w:rsid w:val="001A7796"/>
    <w:rsid w:val="001A79A8"/>
    <w:rsid w:val="001B0428"/>
    <w:rsid w:val="001B082E"/>
    <w:rsid w:val="001B1150"/>
    <w:rsid w:val="001B2423"/>
    <w:rsid w:val="001B2848"/>
    <w:rsid w:val="001B430A"/>
    <w:rsid w:val="001B49D9"/>
    <w:rsid w:val="001B4C54"/>
    <w:rsid w:val="001B674F"/>
    <w:rsid w:val="001B6919"/>
    <w:rsid w:val="001B6FB5"/>
    <w:rsid w:val="001B7F7A"/>
    <w:rsid w:val="001C0F5F"/>
    <w:rsid w:val="001C1252"/>
    <w:rsid w:val="001C1602"/>
    <w:rsid w:val="001C231E"/>
    <w:rsid w:val="001C2F2C"/>
    <w:rsid w:val="001C33F0"/>
    <w:rsid w:val="001C3D8A"/>
    <w:rsid w:val="001C4069"/>
    <w:rsid w:val="001C7A49"/>
    <w:rsid w:val="001D0F88"/>
    <w:rsid w:val="001D10A8"/>
    <w:rsid w:val="001D30FC"/>
    <w:rsid w:val="001D39AA"/>
    <w:rsid w:val="001D3EDA"/>
    <w:rsid w:val="001D3FDB"/>
    <w:rsid w:val="001D7B2B"/>
    <w:rsid w:val="001E1432"/>
    <w:rsid w:val="001E1CC2"/>
    <w:rsid w:val="001E3D30"/>
    <w:rsid w:val="001E413A"/>
    <w:rsid w:val="001E7605"/>
    <w:rsid w:val="001E7807"/>
    <w:rsid w:val="001F2F03"/>
    <w:rsid w:val="001F35D3"/>
    <w:rsid w:val="001F3B91"/>
    <w:rsid w:val="001F6303"/>
    <w:rsid w:val="001F6306"/>
    <w:rsid w:val="001F6972"/>
    <w:rsid w:val="001F718C"/>
    <w:rsid w:val="001F7452"/>
    <w:rsid w:val="001F74AA"/>
    <w:rsid w:val="001F7FBC"/>
    <w:rsid w:val="002000A0"/>
    <w:rsid w:val="00200AC8"/>
    <w:rsid w:val="00205955"/>
    <w:rsid w:val="002077BF"/>
    <w:rsid w:val="00207A4A"/>
    <w:rsid w:val="00207F72"/>
    <w:rsid w:val="002101C8"/>
    <w:rsid w:val="00210566"/>
    <w:rsid w:val="00211261"/>
    <w:rsid w:val="00211546"/>
    <w:rsid w:val="0021391B"/>
    <w:rsid w:val="00216358"/>
    <w:rsid w:val="00217045"/>
    <w:rsid w:val="00217656"/>
    <w:rsid w:val="002179AF"/>
    <w:rsid w:val="00220160"/>
    <w:rsid w:val="0022050E"/>
    <w:rsid w:val="00220A38"/>
    <w:rsid w:val="002215A7"/>
    <w:rsid w:val="002227B4"/>
    <w:rsid w:val="00222F1B"/>
    <w:rsid w:val="002235C9"/>
    <w:rsid w:val="00223AD2"/>
    <w:rsid w:val="00224B7C"/>
    <w:rsid w:val="0022669D"/>
    <w:rsid w:val="00227974"/>
    <w:rsid w:val="0023002F"/>
    <w:rsid w:val="002316D6"/>
    <w:rsid w:val="0023279B"/>
    <w:rsid w:val="00232A97"/>
    <w:rsid w:val="00233C5E"/>
    <w:rsid w:val="00234107"/>
    <w:rsid w:val="00235145"/>
    <w:rsid w:val="00235164"/>
    <w:rsid w:val="00236809"/>
    <w:rsid w:val="0024154A"/>
    <w:rsid w:val="0024334E"/>
    <w:rsid w:val="00243851"/>
    <w:rsid w:val="0024392D"/>
    <w:rsid w:val="00243AA0"/>
    <w:rsid w:val="00244E03"/>
    <w:rsid w:val="002461F2"/>
    <w:rsid w:val="002478DC"/>
    <w:rsid w:val="002505C3"/>
    <w:rsid w:val="00251BB3"/>
    <w:rsid w:val="00254108"/>
    <w:rsid w:val="00256CC6"/>
    <w:rsid w:val="00262372"/>
    <w:rsid w:val="00265656"/>
    <w:rsid w:val="00272300"/>
    <w:rsid w:val="00272578"/>
    <w:rsid w:val="00272682"/>
    <w:rsid w:val="002758FB"/>
    <w:rsid w:val="00276A6F"/>
    <w:rsid w:val="00276EBF"/>
    <w:rsid w:val="0027707C"/>
    <w:rsid w:val="002774E3"/>
    <w:rsid w:val="0028013B"/>
    <w:rsid w:val="002801C4"/>
    <w:rsid w:val="0028064E"/>
    <w:rsid w:val="00280BB3"/>
    <w:rsid w:val="0028362F"/>
    <w:rsid w:val="002837C0"/>
    <w:rsid w:val="00286257"/>
    <w:rsid w:val="002866DD"/>
    <w:rsid w:val="00291947"/>
    <w:rsid w:val="00293165"/>
    <w:rsid w:val="0029346D"/>
    <w:rsid w:val="0029490B"/>
    <w:rsid w:val="00297E60"/>
    <w:rsid w:val="002A15D6"/>
    <w:rsid w:val="002A1BF7"/>
    <w:rsid w:val="002A1E87"/>
    <w:rsid w:val="002A69DD"/>
    <w:rsid w:val="002A74DC"/>
    <w:rsid w:val="002A7A4F"/>
    <w:rsid w:val="002A7F61"/>
    <w:rsid w:val="002B0AF8"/>
    <w:rsid w:val="002B0F80"/>
    <w:rsid w:val="002B1F82"/>
    <w:rsid w:val="002B3E10"/>
    <w:rsid w:val="002B3F94"/>
    <w:rsid w:val="002B5001"/>
    <w:rsid w:val="002B58F2"/>
    <w:rsid w:val="002B5A82"/>
    <w:rsid w:val="002C019C"/>
    <w:rsid w:val="002C09EA"/>
    <w:rsid w:val="002C1F5A"/>
    <w:rsid w:val="002C2A9B"/>
    <w:rsid w:val="002C5F3F"/>
    <w:rsid w:val="002C70E0"/>
    <w:rsid w:val="002C7856"/>
    <w:rsid w:val="002D008F"/>
    <w:rsid w:val="002D0B0D"/>
    <w:rsid w:val="002D32C4"/>
    <w:rsid w:val="002D3BA4"/>
    <w:rsid w:val="002D3BB0"/>
    <w:rsid w:val="002D4082"/>
    <w:rsid w:val="002D5C27"/>
    <w:rsid w:val="002D6F43"/>
    <w:rsid w:val="002D7506"/>
    <w:rsid w:val="002E16F4"/>
    <w:rsid w:val="002E393E"/>
    <w:rsid w:val="002E4180"/>
    <w:rsid w:val="002E4B2D"/>
    <w:rsid w:val="002E76A2"/>
    <w:rsid w:val="002F02EC"/>
    <w:rsid w:val="002F0B90"/>
    <w:rsid w:val="002F1AD4"/>
    <w:rsid w:val="002F1B05"/>
    <w:rsid w:val="002F33C9"/>
    <w:rsid w:val="002F3507"/>
    <w:rsid w:val="002F4ABC"/>
    <w:rsid w:val="002F6FD9"/>
    <w:rsid w:val="002F70DC"/>
    <w:rsid w:val="00301447"/>
    <w:rsid w:val="00301E42"/>
    <w:rsid w:val="00302050"/>
    <w:rsid w:val="0030244B"/>
    <w:rsid w:val="0030661B"/>
    <w:rsid w:val="003069DB"/>
    <w:rsid w:val="00307138"/>
    <w:rsid w:val="0030763C"/>
    <w:rsid w:val="0031063C"/>
    <w:rsid w:val="00310C37"/>
    <w:rsid w:val="00310CDE"/>
    <w:rsid w:val="0031113F"/>
    <w:rsid w:val="003126A4"/>
    <w:rsid w:val="00312750"/>
    <w:rsid w:val="003169F4"/>
    <w:rsid w:val="00317DB5"/>
    <w:rsid w:val="00323C27"/>
    <w:rsid w:val="00325546"/>
    <w:rsid w:val="00325D94"/>
    <w:rsid w:val="00326AB3"/>
    <w:rsid w:val="00327B63"/>
    <w:rsid w:val="00331F31"/>
    <w:rsid w:val="0033311C"/>
    <w:rsid w:val="00333692"/>
    <w:rsid w:val="003354ED"/>
    <w:rsid w:val="003370C9"/>
    <w:rsid w:val="0033741A"/>
    <w:rsid w:val="00340834"/>
    <w:rsid w:val="003416D6"/>
    <w:rsid w:val="00342B52"/>
    <w:rsid w:val="00344E07"/>
    <w:rsid w:val="00345EC3"/>
    <w:rsid w:val="00346B85"/>
    <w:rsid w:val="00347A54"/>
    <w:rsid w:val="00347BAF"/>
    <w:rsid w:val="00347FB6"/>
    <w:rsid w:val="00351DF4"/>
    <w:rsid w:val="00352259"/>
    <w:rsid w:val="00352549"/>
    <w:rsid w:val="00353179"/>
    <w:rsid w:val="00353D0C"/>
    <w:rsid w:val="00353E45"/>
    <w:rsid w:val="003548C8"/>
    <w:rsid w:val="003555A3"/>
    <w:rsid w:val="00355EB9"/>
    <w:rsid w:val="00356934"/>
    <w:rsid w:val="00357364"/>
    <w:rsid w:val="00357C81"/>
    <w:rsid w:val="00362CB1"/>
    <w:rsid w:val="00363F0A"/>
    <w:rsid w:val="00365298"/>
    <w:rsid w:val="00366E6D"/>
    <w:rsid w:val="00370B19"/>
    <w:rsid w:val="00374015"/>
    <w:rsid w:val="00374623"/>
    <w:rsid w:val="00375CE4"/>
    <w:rsid w:val="00382503"/>
    <w:rsid w:val="003839E2"/>
    <w:rsid w:val="00384E6C"/>
    <w:rsid w:val="00385BC1"/>
    <w:rsid w:val="00386BDF"/>
    <w:rsid w:val="003904C9"/>
    <w:rsid w:val="00390AAF"/>
    <w:rsid w:val="00390CBD"/>
    <w:rsid w:val="003915D1"/>
    <w:rsid w:val="00394C8C"/>
    <w:rsid w:val="00395F66"/>
    <w:rsid w:val="003A0268"/>
    <w:rsid w:val="003A22E4"/>
    <w:rsid w:val="003A5E35"/>
    <w:rsid w:val="003A72C0"/>
    <w:rsid w:val="003A72D1"/>
    <w:rsid w:val="003A77EF"/>
    <w:rsid w:val="003B162D"/>
    <w:rsid w:val="003B1B21"/>
    <w:rsid w:val="003B27F3"/>
    <w:rsid w:val="003B2F96"/>
    <w:rsid w:val="003B3785"/>
    <w:rsid w:val="003B4A06"/>
    <w:rsid w:val="003B6D3F"/>
    <w:rsid w:val="003B77F8"/>
    <w:rsid w:val="003C009C"/>
    <w:rsid w:val="003C2B60"/>
    <w:rsid w:val="003C31A3"/>
    <w:rsid w:val="003C442B"/>
    <w:rsid w:val="003C5526"/>
    <w:rsid w:val="003C5651"/>
    <w:rsid w:val="003C6A7C"/>
    <w:rsid w:val="003C6DA1"/>
    <w:rsid w:val="003D01D2"/>
    <w:rsid w:val="003D1199"/>
    <w:rsid w:val="003D1EC3"/>
    <w:rsid w:val="003D224D"/>
    <w:rsid w:val="003D3AB5"/>
    <w:rsid w:val="003D3EBB"/>
    <w:rsid w:val="003D6D7B"/>
    <w:rsid w:val="003E1A5C"/>
    <w:rsid w:val="003E2B80"/>
    <w:rsid w:val="003E3975"/>
    <w:rsid w:val="003E4803"/>
    <w:rsid w:val="003E74AA"/>
    <w:rsid w:val="003E7E8A"/>
    <w:rsid w:val="003F0092"/>
    <w:rsid w:val="003F1BDD"/>
    <w:rsid w:val="003F2A5D"/>
    <w:rsid w:val="003F633B"/>
    <w:rsid w:val="003F6D3A"/>
    <w:rsid w:val="0040155F"/>
    <w:rsid w:val="0040173A"/>
    <w:rsid w:val="00401D5A"/>
    <w:rsid w:val="00402BEA"/>
    <w:rsid w:val="0040352F"/>
    <w:rsid w:val="00403702"/>
    <w:rsid w:val="00403B45"/>
    <w:rsid w:val="004106E4"/>
    <w:rsid w:val="00410AB1"/>
    <w:rsid w:val="00411935"/>
    <w:rsid w:val="00411CE3"/>
    <w:rsid w:val="00412718"/>
    <w:rsid w:val="00413B6B"/>
    <w:rsid w:val="004177CF"/>
    <w:rsid w:val="00417858"/>
    <w:rsid w:val="00417B67"/>
    <w:rsid w:val="004215EA"/>
    <w:rsid w:val="00421DC7"/>
    <w:rsid w:val="00422BF0"/>
    <w:rsid w:val="004255B9"/>
    <w:rsid w:val="004267CF"/>
    <w:rsid w:val="004277E5"/>
    <w:rsid w:val="00427937"/>
    <w:rsid w:val="004315A7"/>
    <w:rsid w:val="00431605"/>
    <w:rsid w:val="00434B40"/>
    <w:rsid w:val="004355DE"/>
    <w:rsid w:val="00435D5E"/>
    <w:rsid w:val="00436701"/>
    <w:rsid w:val="00440EA3"/>
    <w:rsid w:val="0044185D"/>
    <w:rsid w:val="00441E5B"/>
    <w:rsid w:val="00442E00"/>
    <w:rsid w:val="0044323F"/>
    <w:rsid w:val="004465BD"/>
    <w:rsid w:val="00446983"/>
    <w:rsid w:val="00450469"/>
    <w:rsid w:val="00450BE9"/>
    <w:rsid w:val="0045158B"/>
    <w:rsid w:val="00452787"/>
    <w:rsid w:val="00453637"/>
    <w:rsid w:val="004538C7"/>
    <w:rsid w:val="0045493D"/>
    <w:rsid w:val="00454AD6"/>
    <w:rsid w:val="00457518"/>
    <w:rsid w:val="00457611"/>
    <w:rsid w:val="0046013D"/>
    <w:rsid w:val="00464076"/>
    <w:rsid w:val="004644B2"/>
    <w:rsid w:val="00465530"/>
    <w:rsid w:val="00466C52"/>
    <w:rsid w:val="00474249"/>
    <w:rsid w:val="00474862"/>
    <w:rsid w:val="00475B11"/>
    <w:rsid w:val="00477F93"/>
    <w:rsid w:val="00482611"/>
    <w:rsid w:val="00482751"/>
    <w:rsid w:val="00482D47"/>
    <w:rsid w:val="00483D46"/>
    <w:rsid w:val="00486144"/>
    <w:rsid w:val="00491428"/>
    <w:rsid w:val="00491842"/>
    <w:rsid w:val="00491AF1"/>
    <w:rsid w:val="00492142"/>
    <w:rsid w:val="00492BA5"/>
    <w:rsid w:val="00492FF5"/>
    <w:rsid w:val="004939DE"/>
    <w:rsid w:val="004944B2"/>
    <w:rsid w:val="0049781A"/>
    <w:rsid w:val="00497954"/>
    <w:rsid w:val="004A2FB8"/>
    <w:rsid w:val="004A4CAF"/>
    <w:rsid w:val="004A5BBD"/>
    <w:rsid w:val="004A61A4"/>
    <w:rsid w:val="004A682C"/>
    <w:rsid w:val="004A6B81"/>
    <w:rsid w:val="004A7B4B"/>
    <w:rsid w:val="004B0FC4"/>
    <w:rsid w:val="004B24B0"/>
    <w:rsid w:val="004B3015"/>
    <w:rsid w:val="004C0899"/>
    <w:rsid w:val="004C08C7"/>
    <w:rsid w:val="004C3EB8"/>
    <w:rsid w:val="004C53A5"/>
    <w:rsid w:val="004C6E25"/>
    <w:rsid w:val="004C6F66"/>
    <w:rsid w:val="004C7743"/>
    <w:rsid w:val="004D0614"/>
    <w:rsid w:val="004D1345"/>
    <w:rsid w:val="004D2342"/>
    <w:rsid w:val="004D2888"/>
    <w:rsid w:val="004D3F5B"/>
    <w:rsid w:val="004D786A"/>
    <w:rsid w:val="004E0654"/>
    <w:rsid w:val="004E1BB7"/>
    <w:rsid w:val="004E30DA"/>
    <w:rsid w:val="004E41B9"/>
    <w:rsid w:val="004E4904"/>
    <w:rsid w:val="004E4F90"/>
    <w:rsid w:val="004E6166"/>
    <w:rsid w:val="004E690D"/>
    <w:rsid w:val="004F0217"/>
    <w:rsid w:val="004F3E1D"/>
    <w:rsid w:val="004F6D3A"/>
    <w:rsid w:val="005006A0"/>
    <w:rsid w:val="0050155F"/>
    <w:rsid w:val="00501631"/>
    <w:rsid w:val="00502CC4"/>
    <w:rsid w:val="005048FF"/>
    <w:rsid w:val="00505773"/>
    <w:rsid w:val="00505BDC"/>
    <w:rsid w:val="00505E3F"/>
    <w:rsid w:val="00505E57"/>
    <w:rsid w:val="005069DA"/>
    <w:rsid w:val="005107B5"/>
    <w:rsid w:val="0051515B"/>
    <w:rsid w:val="005154F1"/>
    <w:rsid w:val="005178D0"/>
    <w:rsid w:val="00517ECA"/>
    <w:rsid w:val="005236ED"/>
    <w:rsid w:val="00523772"/>
    <w:rsid w:val="00525EE0"/>
    <w:rsid w:val="0053202E"/>
    <w:rsid w:val="00535312"/>
    <w:rsid w:val="00536675"/>
    <w:rsid w:val="00536C4D"/>
    <w:rsid w:val="005370F7"/>
    <w:rsid w:val="0054206A"/>
    <w:rsid w:val="00542301"/>
    <w:rsid w:val="00542566"/>
    <w:rsid w:val="00544E24"/>
    <w:rsid w:val="005475DC"/>
    <w:rsid w:val="00547B22"/>
    <w:rsid w:val="00547D1A"/>
    <w:rsid w:val="005509A4"/>
    <w:rsid w:val="00550B94"/>
    <w:rsid w:val="0055108D"/>
    <w:rsid w:val="00552165"/>
    <w:rsid w:val="00552DB3"/>
    <w:rsid w:val="005532FB"/>
    <w:rsid w:val="00555842"/>
    <w:rsid w:val="00556162"/>
    <w:rsid w:val="005564AE"/>
    <w:rsid w:val="005564E0"/>
    <w:rsid w:val="00556A3D"/>
    <w:rsid w:val="00557570"/>
    <w:rsid w:val="005576C9"/>
    <w:rsid w:val="00557CDC"/>
    <w:rsid w:val="005609E3"/>
    <w:rsid w:val="005612FF"/>
    <w:rsid w:val="0056275D"/>
    <w:rsid w:val="00563C6C"/>
    <w:rsid w:val="00567604"/>
    <w:rsid w:val="005677ED"/>
    <w:rsid w:val="00570DE9"/>
    <w:rsid w:val="00571AE1"/>
    <w:rsid w:val="00571D51"/>
    <w:rsid w:val="005726F2"/>
    <w:rsid w:val="005738F8"/>
    <w:rsid w:val="00580E5B"/>
    <w:rsid w:val="0058155D"/>
    <w:rsid w:val="005816FE"/>
    <w:rsid w:val="005817D1"/>
    <w:rsid w:val="00581C3E"/>
    <w:rsid w:val="00582614"/>
    <w:rsid w:val="00582F56"/>
    <w:rsid w:val="00583550"/>
    <w:rsid w:val="005838DE"/>
    <w:rsid w:val="00584F28"/>
    <w:rsid w:val="00585A85"/>
    <w:rsid w:val="0058650F"/>
    <w:rsid w:val="00587BC7"/>
    <w:rsid w:val="005910DF"/>
    <w:rsid w:val="00593542"/>
    <w:rsid w:val="00596939"/>
    <w:rsid w:val="00596DFE"/>
    <w:rsid w:val="005A0E6E"/>
    <w:rsid w:val="005A393D"/>
    <w:rsid w:val="005A477F"/>
    <w:rsid w:val="005A51C4"/>
    <w:rsid w:val="005A5372"/>
    <w:rsid w:val="005A6312"/>
    <w:rsid w:val="005A6AFD"/>
    <w:rsid w:val="005A7426"/>
    <w:rsid w:val="005A7FE7"/>
    <w:rsid w:val="005B14F3"/>
    <w:rsid w:val="005B2B1E"/>
    <w:rsid w:val="005B4567"/>
    <w:rsid w:val="005B706C"/>
    <w:rsid w:val="005B72DC"/>
    <w:rsid w:val="005C108B"/>
    <w:rsid w:val="005C119D"/>
    <w:rsid w:val="005C207B"/>
    <w:rsid w:val="005C285F"/>
    <w:rsid w:val="005C2BDA"/>
    <w:rsid w:val="005C2BE9"/>
    <w:rsid w:val="005C6570"/>
    <w:rsid w:val="005C792F"/>
    <w:rsid w:val="005D0178"/>
    <w:rsid w:val="005D0A08"/>
    <w:rsid w:val="005D2054"/>
    <w:rsid w:val="005D26CB"/>
    <w:rsid w:val="005D2FEA"/>
    <w:rsid w:val="005E2490"/>
    <w:rsid w:val="005E29F6"/>
    <w:rsid w:val="005E3560"/>
    <w:rsid w:val="005E410C"/>
    <w:rsid w:val="005E47F2"/>
    <w:rsid w:val="005E51F5"/>
    <w:rsid w:val="005E6273"/>
    <w:rsid w:val="005F2053"/>
    <w:rsid w:val="005F39EF"/>
    <w:rsid w:val="005F5DC5"/>
    <w:rsid w:val="005F6651"/>
    <w:rsid w:val="005F6884"/>
    <w:rsid w:val="005F72D8"/>
    <w:rsid w:val="0060387E"/>
    <w:rsid w:val="00603EEB"/>
    <w:rsid w:val="006041A8"/>
    <w:rsid w:val="006042C9"/>
    <w:rsid w:val="00610D6C"/>
    <w:rsid w:val="00611015"/>
    <w:rsid w:val="006112C7"/>
    <w:rsid w:val="0061149A"/>
    <w:rsid w:val="00612BFB"/>
    <w:rsid w:val="006135ED"/>
    <w:rsid w:val="00613B7A"/>
    <w:rsid w:val="006147AE"/>
    <w:rsid w:val="0061675B"/>
    <w:rsid w:val="00616B9B"/>
    <w:rsid w:val="00620CE6"/>
    <w:rsid w:val="006219F6"/>
    <w:rsid w:val="00621A82"/>
    <w:rsid w:val="00622F4E"/>
    <w:rsid w:val="00623002"/>
    <w:rsid w:val="0062372F"/>
    <w:rsid w:val="0062449B"/>
    <w:rsid w:val="00625210"/>
    <w:rsid w:val="006263A7"/>
    <w:rsid w:val="006269B7"/>
    <w:rsid w:val="00627D6F"/>
    <w:rsid w:val="006324C5"/>
    <w:rsid w:val="0063319B"/>
    <w:rsid w:val="00633701"/>
    <w:rsid w:val="0063495E"/>
    <w:rsid w:val="0063540A"/>
    <w:rsid w:val="00636DF0"/>
    <w:rsid w:val="0063753E"/>
    <w:rsid w:val="0063767B"/>
    <w:rsid w:val="0064279A"/>
    <w:rsid w:val="00642CAF"/>
    <w:rsid w:val="00642FA8"/>
    <w:rsid w:val="00643715"/>
    <w:rsid w:val="00644D79"/>
    <w:rsid w:val="00644FF5"/>
    <w:rsid w:val="006451D0"/>
    <w:rsid w:val="00646067"/>
    <w:rsid w:val="006460CB"/>
    <w:rsid w:val="0064722F"/>
    <w:rsid w:val="00650175"/>
    <w:rsid w:val="006514BE"/>
    <w:rsid w:val="00651847"/>
    <w:rsid w:val="00652016"/>
    <w:rsid w:val="00652180"/>
    <w:rsid w:val="00653C56"/>
    <w:rsid w:val="0065481F"/>
    <w:rsid w:val="006548E5"/>
    <w:rsid w:val="006554D4"/>
    <w:rsid w:val="006564E7"/>
    <w:rsid w:val="00657884"/>
    <w:rsid w:val="00661E1D"/>
    <w:rsid w:val="00662390"/>
    <w:rsid w:val="00666796"/>
    <w:rsid w:val="0066749A"/>
    <w:rsid w:val="0066768D"/>
    <w:rsid w:val="00671990"/>
    <w:rsid w:val="006724FA"/>
    <w:rsid w:val="0067390B"/>
    <w:rsid w:val="00674F7A"/>
    <w:rsid w:val="00676222"/>
    <w:rsid w:val="006768D3"/>
    <w:rsid w:val="006770D5"/>
    <w:rsid w:val="00677563"/>
    <w:rsid w:val="00677F9D"/>
    <w:rsid w:val="006812BF"/>
    <w:rsid w:val="006832F2"/>
    <w:rsid w:val="00683521"/>
    <w:rsid w:val="0068356F"/>
    <w:rsid w:val="00685328"/>
    <w:rsid w:val="00686BBD"/>
    <w:rsid w:val="00690183"/>
    <w:rsid w:val="00690B86"/>
    <w:rsid w:val="00690C0F"/>
    <w:rsid w:val="006918B7"/>
    <w:rsid w:val="00692CCB"/>
    <w:rsid w:val="00694F6D"/>
    <w:rsid w:val="00695C64"/>
    <w:rsid w:val="00697339"/>
    <w:rsid w:val="00697532"/>
    <w:rsid w:val="006A11EF"/>
    <w:rsid w:val="006A30DA"/>
    <w:rsid w:val="006A3CB9"/>
    <w:rsid w:val="006A6592"/>
    <w:rsid w:val="006B0C3D"/>
    <w:rsid w:val="006B0E6F"/>
    <w:rsid w:val="006B13FA"/>
    <w:rsid w:val="006B2C1B"/>
    <w:rsid w:val="006B4148"/>
    <w:rsid w:val="006B4A76"/>
    <w:rsid w:val="006B4AD2"/>
    <w:rsid w:val="006B5033"/>
    <w:rsid w:val="006B5809"/>
    <w:rsid w:val="006B70CD"/>
    <w:rsid w:val="006B7801"/>
    <w:rsid w:val="006C081A"/>
    <w:rsid w:val="006C0BBF"/>
    <w:rsid w:val="006C2D62"/>
    <w:rsid w:val="006C4B15"/>
    <w:rsid w:val="006C5227"/>
    <w:rsid w:val="006C7C55"/>
    <w:rsid w:val="006D0B9E"/>
    <w:rsid w:val="006D11AD"/>
    <w:rsid w:val="006D1C11"/>
    <w:rsid w:val="006D1D76"/>
    <w:rsid w:val="006D1E90"/>
    <w:rsid w:val="006D4038"/>
    <w:rsid w:val="006D53E5"/>
    <w:rsid w:val="006D7A1F"/>
    <w:rsid w:val="006D7E4F"/>
    <w:rsid w:val="006E1E60"/>
    <w:rsid w:val="006E2170"/>
    <w:rsid w:val="006E3991"/>
    <w:rsid w:val="006E41CB"/>
    <w:rsid w:val="006E425C"/>
    <w:rsid w:val="006E5DBF"/>
    <w:rsid w:val="006F0700"/>
    <w:rsid w:val="006F0C57"/>
    <w:rsid w:val="006F131E"/>
    <w:rsid w:val="006F2EED"/>
    <w:rsid w:val="006F337E"/>
    <w:rsid w:val="006F70E8"/>
    <w:rsid w:val="006F7DB6"/>
    <w:rsid w:val="0070148D"/>
    <w:rsid w:val="0070184E"/>
    <w:rsid w:val="007031E7"/>
    <w:rsid w:val="00703800"/>
    <w:rsid w:val="00706078"/>
    <w:rsid w:val="00706613"/>
    <w:rsid w:val="0070664E"/>
    <w:rsid w:val="00707D7E"/>
    <w:rsid w:val="007158B5"/>
    <w:rsid w:val="007173AC"/>
    <w:rsid w:val="00720311"/>
    <w:rsid w:val="007228BF"/>
    <w:rsid w:val="00722F02"/>
    <w:rsid w:val="00723CC8"/>
    <w:rsid w:val="007257F7"/>
    <w:rsid w:val="00730104"/>
    <w:rsid w:val="00731701"/>
    <w:rsid w:val="00732979"/>
    <w:rsid w:val="007334E7"/>
    <w:rsid w:val="00733DB3"/>
    <w:rsid w:val="00734C1A"/>
    <w:rsid w:val="00735483"/>
    <w:rsid w:val="00736E54"/>
    <w:rsid w:val="00737F67"/>
    <w:rsid w:val="0074069D"/>
    <w:rsid w:val="00742E79"/>
    <w:rsid w:val="00744A96"/>
    <w:rsid w:val="00745903"/>
    <w:rsid w:val="00745A3E"/>
    <w:rsid w:val="00745F9B"/>
    <w:rsid w:val="00746832"/>
    <w:rsid w:val="007472A6"/>
    <w:rsid w:val="00750174"/>
    <w:rsid w:val="00751080"/>
    <w:rsid w:val="00751BF6"/>
    <w:rsid w:val="0075214B"/>
    <w:rsid w:val="0075274C"/>
    <w:rsid w:val="007536EF"/>
    <w:rsid w:val="00756A91"/>
    <w:rsid w:val="0076096D"/>
    <w:rsid w:val="00761C89"/>
    <w:rsid w:val="00762583"/>
    <w:rsid w:val="007639A6"/>
    <w:rsid w:val="00763DE5"/>
    <w:rsid w:val="00763F13"/>
    <w:rsid w:val="0076534F"/>
    <w:rsid w:val="00765352"/>
    <w:rsid w:val="00767CA2"/>
    <w:rsid w:val="00767CB5"/>
    <w:rsid w:val="00770A17"/>
    <w:rsid w:val="00773681"/>
    <w:rsid w:val="00773822"/>
    <w:rsid w:val="0077458B"/>
    <w:rsid w:val="00776889"/>
    <w:rsid w:val="00776B5B"/>
    <w:rsid w:val="00776EF9"/>
    <w:rsid w:val="00777429"/>
    <w:rsid w:val="007778F1"/>
    <w:rsid w:val="00777FC5"/>
    <w:rsid w:val="007807B3"/>
    <w:rsid w:val="00780B56"/>
    <w:rsid w:val="007815DB"/>
    <w:rsid w:val="00783CE8"/>
    <w:rsid w:val="00784931"/>
    <w:rsid w:val="0078587A"/>
    <w:rsid w:val="00785FDB"/>
    <w:rsid w:val="00791F05"/>
    <w:rsid w:val="007921CA"/>
    <w:rsid w:val="0079267B"/>
    <w:rsid w:val="00793C6F"/>
    <w:rsid w:val="00794392"/>
    <w:rsid w:val="007956E1"/>
    <w:rsid w:val="00796B47"/>
    <w:rsid w:val="0079746B"/>
    <w:rsid w:val="007A06C0"/>
    <w:rsid w:val="007A11FF"/>
    <w:rsid w:val="007A2B61"/>
    <w:rsid w:val="007A2F45"/>
    <w:rsid w:val="007A45C2"/>
    <w:rsid w:val="007A5A54"/>
    <w:rsid w:val="007A66B6"/>
    <w:rsid w:val="007A7080"/>
    <w:rsid w:val="007B0786"/>
    <w:rsid w:val="007B2161"/>
    <w:rsid w:val="007B2974"/>
    <w:rsid w:val="007B3436"/>
    <w:rsid w:val="007B5FD5"/>
    <w:rsid w:val="007B7575"/>
    <w:rsid w:val="007B75ED"/>
    <w:rsid w:val="007B78FB"/>
    <w:rsid w:val="007C0003"/>
    <w:rsid w:val="007C1B05"/>
    <w:rsid w:val="007C2EAE"/>
    <w:rsid w:val="007C34F0"/>
    <w:rsid w:val="007C43BD"/>
    <w:rsid w:val="007C72E7"/>
    <w:rsid w:val="007D0842"/>
    <w:rsid w:val="007D4108"/>
    <w:rsid w:val="007D49F4"/>
    <w:rsid w:val="007D4E18"/>
    <w:rsid w:val="007D5F87"/>
    <w:rsid w:val="007D629F"/>
    <w:rsid w:val="007D6D4A"/>
    <w:rsid w:val="007E1D20"/>
    <w:rsid w:val="007E30C5"/>
    <w:rsid w:val="007E4093"/>
    <w:rsid w:val="007E4131"/>
    <w:rsid w:val="007E6095"/>
    <w:rsid w:val="007E7164"/>
    <w:rsid w:val="007F4B00"/>
    <w:rsid w:val="007F4BED"/>
    <w:rsid w:val="007F57C2"/>
    <w:rsid w:val="007F5D2B"/>
    <w:rsid w:val="007F7BC6"/>
    <w:rsid w:val="00801A29"/>
    <w:rsid w:val="00802C3A"/>
    <w:rsid w:val="00803A7D"/>
    <w:rsid w:val="0081040E"/>
    <w:rsid w:val="00810CBB"/>
    <w:rsid w:val="00810D57"/>
    <w:rsid w:val="00811073"/>
    <w:rsid w:val="00811270"/>
    <w:rsid w:val="008135A2"/>
    <w:rsid w:val="00820FCB"/>
    <w:rsid w:val="00821FAE"/>
    <w:rsid w:val="0082244F"/>
    <w:rsid w:val="00825E59"/>
    <w:rsid w:val="0082616D"/>
    <w:rsid w:val="008272EF"/>
    <w:rsid w:val="00827BF3"/>
    <w:rsid w:val="00831FD6"/>
    <w:rsid w:val="00832173"/>
    <w:rsid w:val="00833EBF"/>
    <w:rsid w:val="00834C34"/>
    <w:rsid w:val="008367DE"/>
    <w:rsid w:val="008373C8"/>
    <w:rsid w:val="00837789"/>
    <w:rsid w:val="00840378"/>
    <w:rsid w:val="00840DE9"/>
    <w:rsid w:val="00841F2E"/>
    <w:rsid w:val="00843A91"/>
    <w:rsid w:val="008524F7"/>
    <w:rsid w:val="00853D2D"/>
    <w:rsid w:val="00855A02"/>
    <w:rsid w:val="00855F6F"/>
    <w:rsid w:val="008560E7"/>
    <w:rsid w:val="008573A7"/>
    <w:rsid w:val="00857993"/>
    <w:rsid w:val="0086010F"/>
    <w:rsid w:val="00860D43"/>
    <w:rsid w:val="00861602"/>
    <w:rsid w:val="00862092"/>
    <w:rsid w:val="00862CDC"/>
    <w:rsid w:val="0086389A"/>
    <w:rsid w:val="00864824"/>
    <w:rsid w:val="0086497C"/>
    <w:rsid w:val="0086764B"/>
    <w:rsid w:val="00867ECD"/>
    <w:rsid w:val="0087274F"/>
    <w:rsid w:val="008736A5"/>
    <w:rsid w:val="00873F64"/>
    <w:rsid w:val="00874C20"/>
    <w:rsid w:val="00875592"/>
    <w:rsid w:val="00877FBC"/>
    <w:rsid w:val="00880418"/>
    <w:rsid w:val="008807D9"/>
    <w:rsid w:val="00880AC2"/>
    <w:rsid w:val="00882523"/>
    <w:rsid w:val="00883690"/>
    <w:rsid w:val="00887BB3"/>
    <w:rsid w:val="00891107"/>
    <w:rsid w:val="00892A3B"/>
    <w:rsid w:val="008937A7"/>
    <w:rsid w:val="00894926"/>
    <w:rsid w:val="00894E46"/>
    <w:rsid w:val="00895ACE"/>
    <w:rsid w:val="0089642A"/>
    <w:rsid w:val="008965CF"/>
    <w:rsid w:val="008977B0"/>
    <w:rsid w:val="008977DD"/>
    <w:rsid w:val="008A031C"/>
    <w:rsid w:val="008A05C5"/>
    <w:rsid w:val="008A06B2"/>
    <w:rsid w:val="008A1182"/>
    <w:rsid w:val="008A1276"/>
    <w:rsid w:val="008A3258"/>
    <w:rsid w:val="008A4992"/>
    <w:rsid w:val="008A5780"/>
    <w:rsid w:val="008A69AD"/>
    <w:rsid w:val="008A6AFD"/>
    <w:rsid w:val="008A760C"/>
    <w:rsid w:val="008A7623"/>
    <w:rsid w:val="008B101E"/>
    <w:rsid w:val="008B17D3"/>
    <w:rsid w:val="008B300E"/>
    <w:rsid w:val="008B6C4E"/>
    <w:rsid w:val="008B6F6C"/>
    <w:rsid w:val="008C11F7"/>
    <w:rsid w:val="008C13D9"/>
    <w:rsid w:val="008C2E63"/>
    <w:rsid w:val="008C309B"/>
    <w:rsid w:val="008C4A4F"/>
    <w:rsid w:val="008C5E62"/>
    <w:rsid w:val="008C61BD"/>
    <w:rsid w:val="008C64B4"/>
    <w:rsid w:val="008D0BCF"/>
    <w:rsid w:val="008D0E39"/>
    <w:rsid w:val="008D2120"/>
    <w:rsid w:val="008D36C4"/>
    <w:rsid w:val="008D6352"/>
    <w:rsid w:val="008D6647"/>
    <w:rsid w:val="008D693C"/>
    <w:rsid w:val="008E492A"/>
    <w:rsid w:val="008E52E7"/>
    <w:rsid w:val="008E59FF"/>
    <w:rsid w:val="008E5F95"/>
    <w:rsid w:val="008E6082"/>
    <w:rsid w:val="008F008F"/>
    <w:rsid w:val="008F3A76"/>
    <w:rsid w:val="008F511C"/>
    <w:rsid w:val="008F573E"/>
    <w:rsid w:val="008F6A92"/>
    <w:rsid w:val="008F782A"/>
    <w:rsid w:val="0090218B"/>
    <w:rsid w:val="0090230D"/>
    <w:rsid w:val="009025B2"/>
    <w:rsid w:val="00903CF3"/>
    <w:rsid w:val="00903F42"/>
    <w:rsid w:val="00904494"/>
    <w:rsid w:val="00906C00"/>
    <w:rsid w:val="00907EF7"/>
    <w:rsid w:val="009117CD"/>
    <w:rsid w:val="00915C7E"/>
    <w:rsid w:val="00916A7A"/>
    <w:rsid w:val="00917110"/>
    <w:rsid w:val="0091736D"/>
    <w:rsid w:val="0092123D"/>
    <w:rsid w:val="00921AF3"/>
    <w:rsid w:val="00925252"/>
    <w:rsid w:val="009253AD"/>
    <w:rsid w:val="00926DD4"/>
    <w:rsid w:val="00930445"/>
    <w:rsid w:val="00931FED"/>
    <w:rsid w:val="0093318B"/>
    <w:rsid w:val="00935973"/>
    <w:rsid w:val="0093678F"/>
    <w:rsid w:val="00937799"/>
    <w:rsid w:val="00940400"/>
    <w:rsid w:val="00941E7A"/>
    <w:rsid w:val="00943545"/>
    <w:rsid w:val="00943F8D"/>
    <w:rsid w:val="00946080"/>
    <w:rsid w:val="00946438"/>
    <w:rsid w:val="00950E33"/>
    <w:rsid w:val="009510BB"/>
    <w:rsid w:val="009510BF"/>
    <w:rsid w:val="00952F23"/>
    <w:rsid w:val="00953C9F"/>
    <w:rsid w:val="009558CC"/>
    <w:rsid w:val="009569E8"/>
    <w:rsid w:val="00956FB2"/>
    <w:rsid w:val="00957776"/>
    <w:rsid w:val="00960E95"/>
    <w:rsid w:val="00962155"/>
    <w:rsid w:val="00962F5C"/>
    <w:rsid w:val="009639C5"/>
    <w:rsid w:val="00966E93"/>
    <w:rsid w:val="00970B16"/>
    <w:rsid w:val="00970BF3"/>
    <w:rsid w:val="00971580"/>
    <w:rsid w:val="00975DC7"/>
    <w:rsid w:val="00976821"/>
    <w:rsid w:val="009769DB"/>
    <w:rsid w:val="00977530"/>
    <w:rsid w:val="00982FE0"/>
    <w:rsid w:val="0098328E"/>
    <w:rsid w:val="009843B5"/>
    <w:rsid w:val="009866EF"/>
    <w:rsid w:val="0099176A"/>
    <w:rsid w:val="0099278C"/>
    <w:rsid w:val="0099427C"/>
    <w:rsid w:val="009966CC"/>
    <w:rsid w:val="00997572"/>
    <w:rsid w:val="009A04A3"/>
    <w:rsid w:val="009A1AB0"/>
    <w:rsid w:val="009A29DD"/>
    <w:rsid w:val="009A4FAB"/>
    <w:rsid w:val="009A5342"/>
    <w:rsid w:val="009A5392"/>
    <w:rsid w:val="009A60D7"/>
    <w:rsid w:val="009A686F"/>
    <w:rsid w:val="009B054C"/>
    <w:rsid w:val="009B2211"/>
    <w:rsid w:val="009B2D70"/>
    <w:rsid w:val="009B42FC"/>
    <w:rsid w:val="009B5515"/>
    <w:rsid w:val="009B62F9"/>
    <w:rsid w:val="009B6EE1"/>
    <w:rsid w:val="009B7DE6"/>
    <w:rsid w:val="009C0CF6"/>
    <w:rsid w:val="009C1982"/>
    <w:rsid w:val="009C20B8"/>
    <w:rsid w:val="009C2274"/>
    <w:rsid w:val="009C3A7B"/>
    <w:rsid w:val="009C48A0"/>
    <w:rsid w:val="009C4D5A"/>
    <w:rsid w:val="009C5DA8"/>
    <w:rsid w:val="009D20AA"/>
    <w:rsid w:val="009D378C"/>
    <w:rsid w:val="009D3982"/>
    <w:rsid w:val="009D4203"/>
    <w:rsid w:val="009D5D5B"/>
    <w:rsid w:val="009D5DDD"/>
    <w:rsid w:val="009D773C"/>
    <w:rsid w:val="009D7EFB"/>
    <w:rsid w:val="009E2AD2"/>
    <w:rsid w:val="009E38B1"/>
    <w:rsid w:val="009E3ACC"/>
    <w:rsid w:val="009E3D42"/>
    <w:rsid w:val="009E441F"/>
    <w:rsid w:val="009E5755"/>
    <w:rsid w:val="009E57C8"/>
    <w:rsid w:val="009F2C04"/>
    <w:rsid w:val="009F3155"/>
    <w:rsid w:val="009F38EF"/>
    <w:rsid w:val="009F5540"/>
    <w:rsid w:val="009F5BF5"/>
    <w:rsid w:val="009F7A4D"/>
    <w:rsid w:val="00A01C6C"/>
    <w:rsid w:val="00A025C0"/>
    <w:rsid w:val="00A02AB2"/>
    <w:rsid w:val="00A03770"/>
    <w:rsid w:val="00A038B8"/>
    <w:rsid w:val="00A0452B"/>
    <w:rsid w:val="00A0586C"/>
    <w:rsid w:val="00A0663B"/>
    <w:rsid w:val="00A0716D"/>
    <w:rsid w:val="00A07248"/>
    <w:rsid w:val="00A07CB5"/>
    <w:rsid w:val="00A10F5E"/>
    <w:rsid w:val="00A12923"/>
    <w:rsid w:val="00A13952"/>
    <w:rsid w:val="00A139F9"/>
    <w:rsid w:val="00A14879"/>
    <w:rsid w:val="00A155CA"/>
    <w:rsid w:val="00A163FA"/>
    <w:rsid w:val="00A20EFB"/>
    <w:rsid w:val="00A22640"/>
    <w:rsid w:val="00A229C0"/>
    <w:rsid w:val="00A234D9"/>
    <w:rsid w:val="00A243AA"/>
    <w:rsid w:val="00A2456A"/>
    <w:rsid w:val="00A25205"/>
    <w:rsid w:val="00A25A26"/>
    <w:rsid w:val="00A25F25"/>
    <w:rsid w:val="00A26E97"/>
    <w:rsid w:val="00A26FA8"/>
    <w:rsid w:val="00A27956"/>
    <w:rsid w:val="00A27E0A"/>
    <w:rsid w:val="00A31216"/>
    <w:rsid w:val="00A32B93"/>
    <w:rsid w:val="00A33EBC"/>
    <w:rsid w:val="00A36775"/>
    <w:rsid w:val="00A36B3E"/>
    <w:rsid w:val="00A37F47"/>
    <w:rsid w:val="00A40948"/>
    <w:rsid w:val="00A409CC"/>
    <w:rsid w:val="00A40D68"/>
    <w:rsid w:val="00A42271"/>
    <w:rsid w:val="00A42724"/>
    <w:rsid w:val="00A43761"/>
    <w:rsid w:val="00A46E71"/>
    <w:rsid w:val="00A47E5D"/>
    <w:rsid w:val="00A50125"/>
    <w:rsid w:val="00A51124"/>
    <w:rsid w:val="00A53E0B"/>
    <w:rsid w:val="00A54294"/>
    <w:rsid w:val="00A560D4"/>
    <w:rsid w:val="00A561D9"/>
    <w:rsid w:val="00A56E8D"/>
    <w:rsid w:val="00A573C4"/>
    <w:rsid w:val="00A57B14"/>
    <w:rsid w:val="00A6040A"/>
    <w:rsid w:val="00A60568"/>
    <w:rsid w:val="00A6223C"/>
    <w:rsid w:val="00A62D75"/>
    <w:rsid w:val="00A62E47"/>
    <w:rsid w:val="00A64CAD"/>
    <w:rsid w:val="00A65881"/>
    <w:rsid w:val="00A662AB"/>
    <w:rsid w:val="00A66D86"/>
    <w:rsid w:val="00A67126"/>
    <w:rsid w:val="00A67843"/>
    <w:rsid w:val="00A73F81"/>
    <w:rsid w:val="00A74AD3"/>
    <w:rsid w:val="00A769CC"/>
    <w:rsid w:val="00A76ECF"/>
    <w:rsid w:val="00A77CE7"/>
    <w:rsid w:val="00A82D70"/>
    <w:rsid w:val="00A82F5F"/>
    <w:rsid w:val="00A838E2"/>
    <w:rsid w:val="00A83954"/>
    <w:rsid w:val="00A8727A"/>
    <w:rsid w:val="00A87E54"/>
    <w:rsid w:val="00A91384"/>
    <w:rsid w:val="00A93D92"/>
    <w:rsid w:val="00A93DF6"/>
    <w:rsid w:val="00A9484D"/>
    <w:rsid w:val="00A953FF"/>
    <w:rsid w:val="00A9561D"/>
    <w:rsid w:val="00A95933"/>
    <w:rsid w:val="00A9698F"/>
    <w:rsid w:val="00A976BB"/>
    <w:rsid w:val="00A9772F"/>
    <w:rsid w:val="00AA36CD"/>
    <w:rsid w:val="00AA5E86"/>
    <w:rsid w:val="00AA6ED4"/>
    <w:rsid w:val="00AA7B10"/>
    <w:rsid w:val="00AB25F9"/>
    <w:rsid w:val="00AB2649"/>
    <w:rsid w:val="00AB2691"/>
    <w:rsid w:val="00AB413A"/>
    <w:rsid w:val="00AB4AF7"/>
    <w:rsid w:val="00AB5204"/>
    <w:rsid w:val="00AB6695"/>
    <w:rsid w:val="00AC0A3E"/>
    <w:rsid w:val="00AC1912"/>
    <w:rsid w:val="00AC4B70"/>
    <w:rsid w:val="00AC57B4"/>
    <w:rsid w:val="00AC5C1F"/>
    <w:rsid w:val="00AC65DD"/>
    <w:rsid w:val="00AD1C2C"/>
    <w:rsid w:val="00AD1D20"/>
    <w:rsid w:val="00AD24F0"/>
    <w:rsid w:val="00AD39DA"/>
    <w:rsid w:val="00AD3C8C"/>
    <w:rsid w:val="00AD57DA"/>
    <w:rsid w:val="00AD6DEB"/>
    <w:rsid w:val="00AE0FE9"/>
    <w:rsid w:val="00AE1391"/>
    <w:rsid w:val="00AE3086"/>
    <w:rsid w:val="00AE48AC"/>
    <w:rsid w:val="00AE5DF5"/>
    <w:rsid w:val="00AF0FED"/>
    <w:rsid w:val="00AF1F50"/>
    <w:rsid w:val="00AF656D"/>
    <w:rsid w:val="00AF75C2"/>
    <w:rsid w:val="00B00EAF"/>
    <w:rsid w:val="00B01FED"/>
    <w:rsid w:val="00B05F3E"/>
    <w:rsid w:val="00B118D0"/>
    <w:rsid w:val="00B12809"/>
    <w:rsid w:val="00B12D23"/>
    <w:rsid w:val="00B1348D"/>
    <w:rsid w:val="00B13826"/>
    <w:rsid w:val="00B13E25"/>
    <w:rsid w:val="00B142A0"/>
    <w:rsid w:val="00B16A7E"/>
    <w:rsid w:val="00B20D8E"/>
    <w:rsid w:val="00B20E9E"/>
    <w:rsid w:val="00B21B9F"/>
    <w:rsid w:val="00B22167"/>
    <w:rsid w:val="00B2358C"/>
    <w:rsid w:val="00B243C5"/>
    <w:rsid w:val="00B249DD"/>
    <w:rsid w:val="00B24EA1"/>
    <w:rsid w:val="00B26893"/>
    <w:rsid w:val="00B272DB"/>
    <w:rsid w:val="00B30E1E"/>
    <w:rsid w:val="00B314E2"/>
    <w:rsid w:val="00B33DCB"/>
    <w:rsid w:val="00B34AC3"/>
    <w:rsid w:val="00B35981"/>
    <w:rsid w:val="00B36E2A"/>
    <w:rsid w:val="00B3721B"/>
    <w:rsid w:val="00B373A3"/>
    <w:rsid w:val="00B37C9F"/>
    <w:rsid w:val="00B41312"/>
    <w:rsid w:val="00B4369D"/>
    <w:rsid w:val="00B454E9"/>
    <w:rsid w:val="00B45A0C"/>
    <w:rsid w:val="00B46863"/>
    <w:rsid w:val="00B50645"/>
    <w:rsid w:val="00B52C37"/>
    <w:rsid w:val="00B52F8B"/>
    <w:rsid w:val="00B549EC"/>
    <w:rsid w:val="00B56E07"/>
    <w:rsid w:val="00B61258"/>
    <w:rsid w:val="00B61572"/>
    <w:rsid w:val="00B62498"/>
    <w:rsid w:val="00B62583"/>
    <w:rsid w:val="00B62F01"/>
    <w:rsid w:val="00B63389"/>
    <w:rsid w:val="00B65DC4"/>
    <w:rsid w:val="00B72299"/>
    <w:rsid w:val="00B728E9"/>
    <w:rsid w:val="00B72DC3"/>
    <w:rsid w:val="00B73E0E"/>
    <w:rsid w:val="00B74211"/>
    <w:rsid w:val="00B75279"/>
    <w:rsid w:val="00B816FD"/>
    <w:rsid w:val="00B818DB"/>
    <w:rsid w:val="00B83AC9"/>
    <w:rsid w:val="00B85356"/>
    <w:rsid w:val="00B85678"/>
    <w:rsid w:val="00B915C8"/>
    <w:rsid w:val="00B9194B"/>
    <w:rsid w:val="00B9419A"/>
    <w:rsid w:val="00B9632B"/>
    <w:rsid w:val="00BA05F1"/>
    <w:rsid w:val="00BA0C18"/>
    <w:rsid w:val="00BA12A4"/>
    <w:rsid w:val="00BA1ADF"/>
    <w:rsid w:val="00BA220E"/>
    <w:rsid w:val="00BA6C1E"/>
    <w:rsid w:val="00BA6C5B"/>
    <w:rsid w:val="00BA72C3"/>
    <w:rsid w:val="00BB01BE"/>
    <w:rsid w:val="00BB18B1"/>
    <w:rsid w:val="00BB1CE8"/>
    <w:rsid w:val="00BB4099"/>
    <w:rsid w:val="00BB4174"/>
    <w:rsid w:val="00BB432C"/>
    <w:rsid w:val="00BB48E6"/>
    <w:rsid w:val="00BB70C8"/>
    <w:rsid w:val="00BC0AF1"/>
    <w:rsid w:val="00BC183E"/>
    <w:rsid w:val="00BC3579"/>
    <w:rsid w:val="00BC4F8F"/>
    <w:rsid w:val="00BC5998"/>
    <w:rsid w:val="00BC7354"/>
    <w:rsid w:val="00BC7CBE"/>
    <w:rsid w:val="00BD0F90"/>
    <w:rsid w:val="00BD182C"/>
    <w:rsid w:val="00BD1F82"/>
    <w:rsid w:val="00BD2313"/>
    <w:rsid w:val="00BD27A6"/>
    <w:rsid w:val="00BD2950"/>
    <w:rsid w:val="00BD3EA8"/>
    <w:rsid w:val="00BD62A2"/>
    <w:rsid w:val="00BD638E"/>
    <w:rsid w:val="00BD6C98"/>
    <w:rsid w:val="00BE0757"/>
    <w:rsid w:val="00BE21C5"/>
    <w:rsid w:val="00BE25D5"/>
    <w:rsid w:val="00BE2729"/>
    <w:rsid w:val="00BE3FD9"/>
    <w:rsid w:val="00BE625D"/>
    <w:rsid w:val="00BE62C8"/>
    <w:rsid w:val="00BE6471"/>
    <w:rsid w:val="00BE6EED"/>
    <w:rsid w:val="00BE7D27"/>
    <w:rsid w:val="00BF0CF7"/>
    <w:rsid w:val="00BF381C"/>
    <w:rsid w:val="00BF5CFF"/>
    <w:rsid w:val="00BF6DFE"/>
    <w:rsid w:val="00BF7379"/>
    <w:rsid w:val="00C0027F"/>
    <w:rsid w:val="00C011A6"/>
    <w:rsid w:val="00C01745"/>
    <w:rsid w:val="00C01D97"/>
    <w:rsid w:val="00C01EB1"/>
    <w:rsid w:val="00C02090"/>
    <w:rsid w:val="00C02EE5"/>
    <w:rsid w:val="00C04682"/>
    <w:rsid w:val="00C04CBD"/>
    <w:rsid w:val="00C04F53"/>
    <w:rsid w:val="00C05CC8"/>
    <w:rsid w:val="00C1041D"/>
    <w:rsid w:val="00C106E4"/>
    <w:rsid w:val="00C111E0"/>
    <w:rsid w:val="00C116F4"/>
    <w:rsid w:val="00C11802"/>
    <w:rsid w:val="00C118C2"/>
    <w:rsid w:val="00C12636"/>
    <w:rsid w:val="00C12B86"/>
    <w:rsid w:val="00C142D8"/>
    <w:rsid w:val="00C15BC9"/>
    <w:rsid w:val="00C17B9C"/>
    <w:rsid w:val="00C21772"/>
    <w:rsid w:val="00C232CF"/>
    <w:rsid w:val="00C23DD0"/>
    <w:rsid w:val="00C24788"/>
    <w:rsid w:val="00C24ED3"/>
    <w:rsid w:val="00C267A6"/>
    <w:rsid w:val="00C2705B"/>
    <w:rsid w:val="00C27DCE"/>
    <w:rsid w:val="00C3153D"/>
    <w:rsid w:val="00C33957"/>
    <w:rsid w:val="00C349BE"/>
    <w:rsid w:val="00C350C5"/>
    <w:rsid w:val="00C35CA6"/>
    <w:rsid w:val="00C40EBE"/>
    <w:rsid w:val="00C4158B"/>
    <w:rsid w:val="00C436B5"/>
    <w:rsid w:val="00C43DA0"/>
    <w:rsid w:val="00C44CB7"/>
    <w:rsid w:val="00C45143"/>
    <w:rsid w:val="00C459E1"/>
    <w:rsid w:val="00C45E6B"/>
    <w:rsid w:val="00C4639C"/>
    <w:rsid w:val="00C46EC2"/>
    <w:rsid w:val="00C50F62"/>
    <w:rsid w:val="00C510EE"/>
    <w:rsid w:val="00C512A7"/>
    <w:rsid w:val="00C513A8"/>
    <w:rsid w:val="00C513C6"/>
    <w:rsid w:val="00C51D04"/>
    <w:rsid w:val="00C56416"/>
    <w:rsid w:val="00C614D8"/>
    <w:rsid w:val="00C6159E"/>
    <w:rsid w:val="00C62669"/>
    <w:rsid w:val="00C62E5A"/>
    <w:rsid w:val="00C652E1"/>
    <w:rsid w:val="00C662C4"/>
    <w:rsid w:val="00C66D86"/>
    <w:rsid w:val="00C6710A"/>
    <w:rsid w:val="00C705DD"/>
    <w:rsid w:val="00C71041"/>
    <w:rsid w:val="00C7269A"/>
    <w:rsid w:val="00C761EC"/>
    <w:rsid w:val="00C77134"/>
    <w:rsid w:val="00C7768E"/>
    <w:rsid w:val="00C80EF2"/>
    <w:rsid w:val="00C8182C"/>
    <w:rsid w:val="00C826A4"/>
    <w:rsid w:val="00C82707"/>
    <w:rsid w:val="00C82D85"/>
    <w:rsid w:val="00C83AD3"/>
    <w:rsid w:val="00C86938"/>
    <w:rsid w:val="00C873EC"/>
    <w:rsid w:val="00C878A2"/>
    <w:rsid w:val="00C90286"/>
    <w:rsid w:val="00C9087B"/>
    <w:rsid w:val="00C93783"/>
    <w:rsid w:val="00C947EC"/>
    <w:rsid w:val="00C94CD4"/>
    <w:rsid w:val="00C97697"/>
    <w:rsid w:val="00CA1172"/>
    <w:rsid w:val="00CA30B2"/>
    <w:rsid w:val="00CA4672"/>
    <w:rsid w:val="00CA5CC1"/>
    <w:rsid w:val="00CA6051"/>
    <w:rsid w:val="00CA6BA5"/>
    <w:rsid w:val="00CA7CF3"/>
    <w:rsid w:val="00CB3157"/>
    <w:rsid w:val="00CB4F61"/>
    <w:rsid w:val="00CB69E3"/>
    <w:rsid w:val="00CB6CD9"/>
    <w:rsid w:val="00CB6FA2"/>
    <w:rsid w:val="00CC0CDE"/>
    <w:rsid w:val="00CC13DB"/>
    <w:rsid w:val="00CC2F9F"/>
    <w:rsid w:val="00CC3990"/>
    <w:rsid w:val="00CC3A17"/>
    <w:rsid w:val="00CC3A8D"/>
    <w:rsid w:val="00CC4025"/>
    <w:rsid w:val="00CC464D"/>
    <w:rsid w:val="00CC7D02"/>
    <w:rsid w:val="00CD1DC6"/>
    <w:rsid w:val="00CD35E9"/>
    <w:rsid w:val="00CD4D86"/>
    <w:rsid w:val="00CD51FD"/>
    <w:rsid w:val="00CD6367"/>
    <w:rsid w:val="00CE086B"/>
    <w:rsid w:val="00CE4487"/>
    <w:rsid w:val="00CE5456"/>
    <w:rsid w:val="00CE6CB9"/>
    <w:rsid w:val="00CF07F1"/>
    <w:rsid w:val="00CF0B66"/>
    <w:rsid w:val="00CF19BB"/>
    <w:rsid w:val="00CF31D0"/>
    <w:rsid w:val="00CF47B8"/>
    <w:rsid w:val="00CF4C13"/>
    <w:rsid w:val="00D00DE7"/>
    <w:rsid w:val="00D037D9"/>
    <w:rsid w:val="00D042AB"/>
    <w:rsid w:val="00D042CD"/>
    <w:rsid w:val="00D066A0"/>
    <w:rsid w:val="00D07F69"/>
    <w:rsid w:val="00D103F0"/>
    <w:rsid w:val="00D10834"/>
    <w:rsid w:val="00D1089B"/>
    <w:rsid w:val="00D13C4A"/>
    <w:rsid w:val="00D14512"/>
    <w:rsid w:val="00D147FB"/>
    <w:rsid w:val="00D21015"/>
    <w:rsid w:val="00D22523"/>
    <w:rsid w:val="00D22D76"/>
    <w:rsid w:val="00D23668"/>
    <w:rsid w:val="00D23B17"/>
    <w:rsid w:val="00D23D7E"/>
    <w:rsid w:val="00D25976"/>
    <w:rsid w:val="00D30055"/>
    <w:rsid w:val="00D30EDB"/>
    <w:rsid w:val="00D32609"/>
    <w:rsid w:val="00D32D80"/>
    <w:rsid w:val="00D3331E"/>
    <w:rsid w:val="00D33A06"/>
    <w:rsid w:val="00D36C7F"/>
    <w:rsid w:val="00D36DD3"/>
    <w:rsid w:val="00D36DF6"/>
    <w:rsid w:val="00D37165"/>
    <w:rsid w:val="00D376B7"/>
    <w:rsid w:val="00D37D0E"/>
    <w:rsid w:val="00D37F55"/>
    <w:rsid w:val="00D419B8"/>
    <w:rsid w:val="00D41F62"/>
    <w:rsid w:val="00D41F90"/>
    <w:rsid w:val="00D4405E"/>
    <w:rsid w:val="00D451C3"/>
    <w:rsid w:val="00D4558B"/>
    <w:rsid w:val="00D501D8"/>
    <w:rsid w:val="00D50278"/>
    <w:rsid w:val="00D51CBC"/>
    <w:rsid w:val="00D55406"/>
    <w:rsid w:val="00D603DE"/>
    <w:rsid w:val="00D60966"/>
    <w:rsid w:val="00D61297"/>
    <w:rsid w:val="00D61876"/>
    <w:rsid w:val="00D632BA"/>
    <w:rsid w:val="00D6677A"/>
    <w:rsid w:val="00D66ECC"/>
    <w:rsid w:val="00D6735E"/>
    <w:rsid w:val="00D67B35"/>
    <w:rsid w:val="00D70FDF"/>
    <w:rsid w:val="00D72DE4"/>
    <w:rsid w:val="00D73C64"/>
    <w:rsid w:val="00D73C69"/>
    <w:rsid w:val="00D746DE"/>
    <w:rsid w:val="00D7504D"/>
    <w:rsid w:val="00D76C34"/>
    <w:rsid w:val="00D77984"/>
    <w:rsid w:val="00D779DF"/>
    <w:rsid w:val="00D80719"/>
    <w:rsid w:val="00D811D4"/>
    <w:rsid w:val="00D817FB"/>
    <w:rsid w:val="00D825F2"/>
    <w:rsid w:val="00D82994"/>
    <w:rsid w:val="00D84DC6"/>
    <w:rsid w:val="00D85127"/>
    <w:rsid w:val="00D85FF5"/>
    <w:rsid w:val="00D927A5"/>
    <w:rsid w:val="00D92CBB"/>
    <w:rsid w:val="00D93668"/>
    <w:rsid w:val="00D944B3"/>
    <w:rsid w:val="00D950E4"/>
    <w:rsid w:val="00D9720C"/>
    <w:rsid w:val="00D97D46"/>
    <w:rsid w:val="00DA2698"/>
    <w:rsid w:val="00DA4422"/>
    <w:rsid w:val="00DA5982"/>
    <w:rsid w:val="00DA5A3C"/>
    <w:rsid w:val="00DB0B04"/>
    <w:rsid w:val="00DB10AE"/>
    <w:rsid w:val="00DB178D"/>
    <w:rsid w:val="00DB238E"/>
    <w:rsid w:val="00DB2E55"/>
    <w:rsid w:val="00DB36A2"/>
    <w:rsid w:val="00DC052C"/>
    <w:rsid w:val="00DC09B9"/>
    <w:rsid w:val="00DC12E5"/>
    <w:rsid w:val="00DC1C80"/>
    <w:rsid w:val="00DC59C2"/>
    <w:rsid w:val="00DD0116"/>
    <w:rsid w:val="00DD073A"/>
    <w:rsid w:val="00DD28FF"/>
    <w:rsid w:val="00DD30AE"/>
    <w:rsid w:val="00DD476B"/>
    <w:rsid w:val="00DD4851"/>
    <w:rsid w:val="00DD52BD"/>
    <w:rsid w:val="00DD70ED"/>
    <w:rsid w:val="00DD71C6"/>
    <w:rsid w:val="00DD7330"/>
    <w:rsid w:val="00DD74B5"/>
    <w:rsid w:val="00DE1954"/>
    <w:rsid w:val="00DE2849"/>
    <w:rsid w:val="00DE2A4E"/>
    <w:rsid w:val="00DE3460"/>
    <w:rsid w:val="00DE5771"/>
    <w:rsid w:val="00DE59BE"/>
    <w:rsid w:val="00DE5A7C"/>
    <w:rsid w:val="00DE6112"/>
    <w:rsid w:val="00DE7010"/>
    <w:rsid w:val="00DF1296"/>
    <w:rsid w:val="00DF1AB9"/>
    <w:rsid w:val="00DF239F"/>
    <w:rsid w:val="00DF493F"/>
    <w:rsid w:val="00DF4EBC"/>
    <w:rsid w:val="00DF5380"/>
    <w:rsid w:val="00DF62D0"/>
    <w:rsid w:val="00E01365"/>
    <w:rsid w:val="00E01CB0"/>
    <w:rsid w:val="00E01FBE"/>
    <w:rsid w:val="00E04016"/>
    <w:rsid w:val="00E045F3"/>
    <w:rsid w:val="00E05A36"/>
    <w:rsid w:val="00E05B79"/>
    <w:rsid w:val="00E05E4E"/>
    <w:rsid w:val="00E0740E"/>
    <w:rsid w:val="00E10054"/>
    <w:rsid w:val="00E14609"/>
    <w:rsid w:val="00E1533A"/>
    <w:rsid w:val="00E154D3"/>
    <w:rsid w:val="00E16918"/>
    <w:rsid w:val="00E1771C"/>
    <w:rsid w:val="00E201A6"/>
    <w:rsid w:val="00E201E9"/>
    <w:rsid w:val="00E235CD"/>
    <w:rsid w:val="00E25FB1"/>
    <w:rsid w:val="00E27472"/>
    <w:rsid w:val="00E309A1"/>
    <w:rsid w:val="00E31E79"/>
    <w:rsid w:val="00E325B8"/>
    <w:rsid w:val="00E32A78"/>
    <w:rsid w:val="00E32BEA"/>
    <w:rsid w:val="00E337B4"/>
    <w:rsid w:val="00E35B74"/>
    <w:rsid w:val="00E35DE2"/>
    <w:rsid w:val="00E377AB"/>
    <w:rsid w:val="00E41600"/>
    <w:rsid w:val="00E4169F"/>
    <w:rsid w:val="00E42DB3"/>
    <w:rsid w:val="00E43296"/>
    <w:rsid w:val="00E43685"/>
    <w:rsid w:val="00E439D6"/>
    <w:rsid w:val="00E43E5C"/>
    <w:rsid w:val="00E43EC5"/>
    <w:rsid w:val="00E51708"/>
    <w:rsid w:val="00E51811"/>
    <w:rsid w:val="00E529D0"/>
    <w:rsid w:val="00E546E3"/>
    <w:rsid w:val="00E55B3B"/>
    <w:rsid w:val="00E5695C"/>
    <w:rsid w:val="00E573F1"/>
    <w:rsid w:val="00E6139B"/>
    <w:rsid w:val="00E63D7A"/>
    <w:rsid w:val="00E66CB7"/>
    <w:rsid w:val="00E67AF2"/>
    <w:rsid w:val="00E70625"/>
    <w:rsid w:val="00E714A8"/>
    <w:rsid w:val="00E7205C"/>
    <w:rsid w:val="00E720C6"/>
    <w:rsid w:val="00E73DB5"/>
    <w:rsid w:val="00E75CD6"/>
    <w:rsid w:val="00E768B2"/>
    <w:rsid w:val="00E76D51"/>
    <w:rsid w:val="00E80D46"/>
    <w:rsid w:val="00E8148A"/>
    <w:rsid w:val="00E81907"/>
    <w:rsid w:val="00E83722"/>
    <w:rsid w:val="00E84828"/>
    <w:rsid w:val="00E84E62"/>
    <w:rsid w:val="00E91126"/>
    <w:rsid w:val="00E95C83"/>
    <w:rsid w:val="00E974DE"/>
    <w:rsid w:val="00EA0732"/>
    <w:rsid w:val="00EA1AB8"/>
    <w:rsid w:val="00EA2D55"/>
    <w:rsid w:val="00EA3A35"/>
    <w:rsid w:val="00EA5395"/>
    <w:rsid w:val="00EA5A9D"/>
    <w:rsid w:val="00EA6771"/>
    <w:rsid w:val="00EB0C3D"/>
    <w:rsid w:val="00EB2298"/>
    <w:rsid w:val="00EB2B34"/>
    <w:rsid w:val="00EB2E0D"/>
    <w:rsid w:val="00EB2E12"/>
    <w:rsid w:val="00EB38C5"/>
    <w:rsid w:val="00EB3D32"/>
    <w:rsid w:val="00EB44D4"/>
    <w:rsid w:val="00EB4674"/>
    <w:rsid w:val="00EB5B6C"/>
    <w:rsid w:val="00EB6B24"/>
    <w:rsid w:val="00EB70DA"/>
    <w:rsid w:val="00EC043C"/>
    <w:rsid w:val="00EC2DB1"/>
    <w:rsid w:val="00EC408E"/>
    <w:rsid w:val="00EC4DFF"/>
    <w:rsid w:val="00EC5B4E"/>
    <w:rsid w:val="00EC5FB4"/>
    <w:rsid w:val="00EC6211"/>
    <w:rsid w:val="00EC6F69"/>
    <w:rsid w:val="00ED11DE"/>
    <w:rsid w:val="00ED1273"/>
    <w:rsid w:val="00ED20D7"/>
    <w:rsid w:val="00ED210A"/>
    <w:rsid w:val="00ED23EB"/>
    <w:rsid w:val="00ED5483"/>
    <w:rsid w:val="00EE22BC"/>
    <w:rsid w:val="00EE25FA"/>
    <w:rsid w:val="00EE2FDD"/>
    <w:rsid w:val="00EE34F3"/>
    <w:rsid w:val="00EF01F9"/>
    <w:rsid w:val="00EF199A"/>
    <w:rsid w:val="00EF25E3"/>
    <w:rsid w:val="00EF4769"/>
    <w:rsid w:val="00EF4ACD"/>
    <w:rsid w:val="00EF5A41"/>
    <w:rsid w:val="00EF7156"/>
    <w:rsid w:val="00F01919"/>
    <w:rsid w:val="00F049C9"/>
    <w:rsid w:val="00F11225"/>
    <w:rsid w:val="00F112D8"/>
    <w:rsid w:val="00F159DD"/>
    <w:rsid w:val="00F15C84"/>
    <w:rsid w:val="00F15E68"/>
    <w:rsid w:val="00F1632F"/>
    <w:rsid w:val="00F23213"/>
    <w:rsid w:val="00F23B7F"/>
    <w:rsid w:val="00F23F12"/>
    <w:rsid w:val="00F24A54"/>
    <w:rsid w:val="00F24A5B"/>
    <w:rsid w:val="00F25227"/>
    <w:rsid w:val="00F25277"/>
    <w:rsid w:val="00F25D8B"/>
    <w:rsid w:val="00F2624D"/>
    <w:rsid w:val="00F274A8"/>
    <w:rsid w:val="00F31111"/>
    <w:rsid w:val="00F31EDF"/>
    <w:rsid w:val="00F333A6"/>
    <w:rsid w:val="00F348B2"/>
    <w:rsid w:val="00F3588A"/>
    <w:rsid w:val="00F366E3"/>
    <w:rsid w:val="00F3682D"/>
    <w:rsid w:val="00F36C1E"/>
    <w:rsid w:val="00F4149A"/>
    <w:rsid w:val="00F41BF4"/>
    <w:rsid w:val="00F41F78"/>
    <w:rsid w:val="00F43819"/>
    <w:rsid w:val="00F4391B"/>
    <w:rsid w:val="00F43E1E"/>
    <w:rsid w:val="00F443F1"/>
    <w:rsid w:val="00F45C0C"/>
    <w:rsid w:val="00F46A75"/>
    <w:rsid w:val="00F47A2F"/>
    <w:rsid w:val="00F5058D"/>
    <w:rsid w:val="00F50DEE"/>
    <w:rsid w:val="00F50E79"/>
    <w:rsid w:val="00F51032"/>
    <w:rsid w:val="00F53FD6"/>
    <w:rsid w:val="00F5690C"/>
    <w:rsid w:val="00F56E7A"/>
    <w:rsid w:val="00F57C48"/>
    <w:rsid w:val="00F57F0E"/>
    <w:rsid w:val="00F6065A"/>
    <w:rsid w:val="00F60DA9"/>
    <w:rsid w:val="00F60DC0"/>
    <w:rsid w:val="00F611D1"/>
    <w:rsid w:val="00F61F32"/>
    <w:rsid w:val="00F62DD8"/>
    <w:rsid w:val="00F66F32"/>
    <w:rsid w:val="00F67300"/>
    <w:rsid w:val="00F6753B"/>
    <w:rsid w:val="00F709B4"/>
    <w:rsid w:val="00F71544"/>
    <w:rsid w:val="00F720EB"/>
    <w:rsid w:val="00F733E4"/>
    <w:rsid w:val="00F73EF2"/>
    <w:rsid w:val="00F75F3A"/>
    <w:rsid w:val="00F75F70"/>
    <w:rsid w:val="00F81C8C"/>
    <w:rsid w:val="00F82A1B"/>
    <w:rsid w:val="00F8425C"/>
    <w:rsid w:val="00F8500F"/>
    <w:rsid w:val="00F85DA7"/>
    <w:rsid w:val="00F86F87"/>
    <w:rsid w:val="00F877DE"/>
    <w:rsid w:val="00F87F88"/>
    <w:rsid w:val="00FA0C12"/>
    <w:rsid w:val="00FA1E5D"/>
    <w:rsid w:val="00FA2AD6"/>
    <w:rsid w:val="00FA445D"/>
    <w:rsid w:val="00FA4B05"/>
    <w:rsid w:val="00FA6981"/>
    <w:rsid w:val="00FA6C95"/>
    <w:rsid w:val="00FA7B5D"/>
    <w:rsid w:val="00FB335F"/>
    <w:rsid w:val="00FB62D8"/>
    <w:rsid w:val="00FB70DC"/>
    <w:rsid w:val="00FB76D8"/>
    <w:rsid w:val="00FC0221"/>
    <w:rsid w:val="00FC4EB1"/>
    <w:rsid w:val="00FC4FBB"/>
    <w:rsid w:val="00FC54FB"/>
    <w:rsid w:val="00FC569F"/>
    <w:rsid w:val="00FC69A3"/>
    <w:rsid w:val="00FC7A8B"/>
    <w:rsid w:val="00FD0270"/>
    <w:rsid w:val="00FD2E95"/>
    <w:rsid w:val="00FD3C76"/>
    <w:rsid w:val="00FD5C4F"/>
    <w:rsid w:val="00FD622C"/>
    <w:rsid w:val="00FD7906"/>
    <w:rsid w:val="00FE1926"/>
    <w:rsid w:val="00FE7257"/>
    <w:rsid w:val="00FF095F"/>
    <w:rsid w:val="00FF1A89"/>
    <w:rsid w:val="00FF3861"/>
    <w:rsid w:val="00FF726B"/>
    <w:rsid w:val="09D53FB5"/>
    <w:rsid w:val="25744652"/>
    <w:rsid w:val="25F33816"/>
    <w:rsid w:val="30E72C1C"/>
    <w:rsid w:val="346D716B"/>
    <w:rsid w:val="586D1B40"/>
    <w:rsid w:val="5ECA755B"/>
    <w:rsid w:val="6168406A"/>
    <w:rsid w:val="76562927"/>
    <w:rsid w:val="7F696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1"/>
    <w:unhideWhenUsed/>
    <w:qFormat/>
    <w:uiPriority w:val="0"/>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3"/>
    <w:unhideWhenUsed/>
    <w:qFormat/>
    <w:uiPriority w:val="0"/>
    <w:pPr>
      <w:keepNext/>
      <w:keepLines/>
      <w:numPr>
        <w:ilvl w:val="3"/>
        <w:numId w:val="1"/>
      </w:numPr>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34"/>
    <w:semiHidden/>
    <w:unhideWhenUsed/>
    <w:qFormat/>
    <w:uiPriority w:val="9"/>
    <w:pPr>
      <w:keepNext/>
      <w:keepLines/>
      <w:numPr>
        <w:ilvl w:val="4"/>
        <w:numId w:val="1"/>
      </w:numPr>
      <w:spacing w:before="280" w:after="290" w:line="376" w:lineRule="auto"/>
      <w:outlineLvl w:val="4"/>
    </w:pPr>
    <w:rPr>
      <w:b/>
      <w:bCs/>
      <w:szCs w:val="28"/>
    </w:rPr>
  </w:style>
  <w:style w:type="paragraph" w:styleId="7">
    <w:name w:val="heading 6"/>
    <w:basedOn w:val="1"/>
    <w:next w:val="1"/>
    <w:link w:val="3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36"/>
    <w:semiHidden/>
    <w:unhideWhenUsed/>
    <w:qFormat/>
    <w:uiPriority w:val="9"/>
    <w:pPr>
      <w:keepNext/>
      <w:keepLines/>
      <w:numPr>
        <w:ilvl w:val="6"/>
        <w:numId w:val="1"/>
      </w:numPr>
      <w:spacing w:before="240" w:after="64" w:line="320" w:lineRule="auto"/>
      <w:outlineLvl w:val="6"/>
    </w:pPr>
    <w:rPr>
      <w:b/>
      <w:bCs/>
      <w:szCs w:val="24"/>
    </w:rPr>
  </w:style>
  <w:style w:type="paragraph" w:styleId="9">
    <w:name w:val="heading 8"/>
    <w:basedOn w:val="1"/>
    <w:next w:val="1"/>
    <w:link w:val="3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3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line="240" w:lineRule="auto"/>
      <w:ind w:left="2520" w:leftChars="1200" w:firstLine="0" w:firstLineChars="0"/>
    </w:pPr>
    <w:rPr>
      <w:sz w:val="21"/>
    </w:rPr>
  </w:style>
  <w:style w:type="paragraph" w:styleId="12">
    <w:name w:val="Normal Indent"/>
    <w:basedOn w:val="1"/>
    <w:semiHidden/>
    <w:unhideWhenUsed/>
    <w:qFormat/>
    <w:uiPriority w:val="99"/>
    <w:pPr>
      <w:ind w:firstLine="420"/>
    </w:pPr>
  </w:style>
  <w:style w:type="paragraph" w:styleId="13">
    <w:name w:val="Body Text"/>
    <w:basedOn w:val="1"/>
    <w:link w:val="57"/>
    <w:qFormat/>
    <w:uiPriority w:val="1"/>
    <w:pPr>
      <w:spacing w:line="240" w:lineRule="auto"/>
      <w:ind w:firstLine="0" w:firstLineChars="0"/>
    </w:pPr>
    <w:rPr>
      <w:sz w:val="21"/>
      <w:szCs w:val="21"/>
    </w:rPr>
  </w:style>
  <w:style w:type="paragraph" w:styleId="14">
    <w:name w:val="toc 5"/>
    <w:basedOn w:val="1"/>
    <w:next w:val="1"/>
    <w:unhideWhenUsed/>
    <w:qFormat/>
    <w:uiPriority w:val="39"/>
    <w:pPr>
      <w:spacing w:line="240" w:lineRule="auto"/>
      <w:ind w:left="1680" w:leftChars="800" w:firstLine="0" w:firstLineChars="0"/>
    </w:pPr>
    <w:rPr>
      <w:sz w:val="21"/>
    </w:rPr>
  </w:style>
  <w:style w:type="paragraph" w:styleId="15">
    <w:name w:val="toc 3"/>
    <w:basedOn w:val="1"/>
    <w:next w:val="1"/>
    <w:unhideWhenUsed/>
    <w:qFormat/>
    <w:uiPriority w:val="39"/>
    <w:pPr>
      <w:widowControl/>
      <w:spacing w:after="100" w:line="276" w:lineRule="auto"/>
      <w:ind w:left="440" w:firstLine="0" w:firstLineChars="0"/>
      <w:jc w:val="left"/>
    </w:pPr>
    <w:rPr>
      <w:kern w:val="0"/>
      <w:sz w:val="22"/>
    </w:rPr>
  </w:style>
  <w:style w:type="paragraph" w:styleId="16">
    <w:name w:val="toc 8"/>
    <w:basedOn w:val="1"/>
    <w:next w:val="1"/>
    <w:unhideWhenUsed/>
    <w:qFormat/>
    <w:uiPriority w:val="39"/>
    <w:pPr>
      <w:spacing w:line="240" w:lineRule="auto"/>
      <w:ind w:left="2940" w:leftChars="1400" w:firstLine="0" w:firstLineChars="0"/>
    </w:pPr>
    <w:rPr>
      <w:sz w:val="21"/>
    </w:rPr>
  </w:style>
  <w:style w:type="paragraph" w:styleId="17">
    <w:name w:val="Body Text Indent 2"/>
    <w:basedOn w:val="1"/>
    <w:link w:val="60"/>
    <w:semiHidden/>
    <w:unhideWhenUsed/>
    <w:qFormat/>
    <w:uiPriority w:val="99"/>
    <w:pPr>
      <w:spacing w:after="120" w:line="480" w:lineRule="auto"/>
      <w:ind w:left="420" w:leftChars="200" w:firstLine="0" w:firstLineChars="0"/>
    </w:pPr>
    <w:rPr>
      <w:sz w:val="21"/>
    </w:rPr>
  </w:style>
  <w:style w:type="paragraph" w:styleId="18">
    <w:name w:val="Balloon Text"/>
    <w:basedOn w:val="1"/>
    <w:link w:val="39"/>
    <w:semiHidden/>
    <w:unhideWhenUsed/>
    <w:qFormat/>
    <w:uiPriority w:val="99"/>
    <w:pPr>
      <w:spacing w:line="240" w:lineRule="auto"/>
    </w:pPr>
    <w:rPr>
      <w:sz w:val="18"/>
      <w:szCs w:val="18"/>
    </w:rPr>
  </w:style>
  <w:style w:type="paragraph" w:styleId="19">
    <w:name w:val="footer"/>
    <w:basedOn w:val="1"/>
    <w:link w:val="40"/>
    <w:unhideWhenUsed/>
    <w:qFormat/>
    <w:uiPriority w:val="99"/>
    <w:pPr>
      <w:tabs>
        <w:tab w:val="center" w:pos="4153"/>
        <w:tab w:val="right" w:pos="8306"/>
      </w:tabs>
      <w:snapToGrid w:val="0"/>
      <w:spacing w:line="240" w:lineRule="auto"/>
      <w:jc w:val="left"/>
    </w:pPr>
    <w:rPr>
      <w:sz w:val="18"/>
      <w:szCs w:val="18"/>
    </w:rPr>
  </w:style>
  <w:style w:type="paragraph" w:styleId="20">
    <w:name w:val="header"/>
    <w:basedOn w:val="1"/>
    <w:link w:val="4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1">
    <w:name w:val="toc 1"/>
    <w:basedOn w:val="1"/>
    <w:next w:val="1"/>
    <w:unhideWhenUsed/>
    <w:qFormat/>
    <w:uiPriority w:val="39"/>
    <w:pPr>
      <w:widowControl/>
      <w:tabs>
        <w:tab w:val="left" w:pos="1260"/>
        <w:tab w:val="right" w:leader="dot" w:pos="9889"/>
      </w:tabs>
      <w:spacing w:after="100" w:line="276" w:lineRule="auto"/>
      <w:ind w:firstLine="480" w:firstLineChars="0"/>
      <w:jc w:val="left"/>
    </w:pPr>
    <w:rPr>
      <w:kern w:val="0"/>
      <w:sz w:val="22"/>
    </w:rPr>
  </w:style>
  <w:style w:type="paragraph" w:styleId="22">
    <w:name w:val="toc 4"/>
    <w:basedOn w:val="1"/>
    <w:next w:val="1"/>
    <w:unhideWhenUsed/>
    <w:qFormat/>
    <w:uiPriority w:val="39"/>
    <w:pPr>
      <w:spacing w:line="240" w:lineRule="auto"/>
      <w:ind w:left="1260" w:leftChars="600" w:firstLine="0" w:firstLineChars="0"/>
    </w:pPr>
    <w:rPr>
      <w:sz w:val="21"/>
    </w:rPr>
  </w:style>
  <w:style w:type="paragraph" w:styleId="23">
    <w:name w:val="toc 6"/>
    <w:basedOn w:val="1"/>
    <w:next w:val="1"/>
    <w:unhideWhenUsed/>
    <w:qFormat/>
    <w:uiPriority w:val="39"/>
    <w:pPr>
      <w:spacing w:line="240" w:lineRule="auto"/>
      <w:ind w:left="2100" w:leftChars="1000" w:firstLine="0" w:firstLineChars="0"/>
    </w:pPr>
    <w:rPr>
      <w:sz w:val="21"/>
    </w:rPr>
  </w:style>
  <w:style w:type="paragraph" w:styleId="24">
    <w:name w:val="toc 2"/>
    <w:basedOn w:val="1"/>
    <w:next w:val="1"/>
    <w:unhideWhenUsed/>
    <w:qFormat/>
    <w:uiPriority w:val="39"/>
    <w:pPr>
      <w:widowControl/>
      <w:spacing w:after="100" w:line="276" w:lineRule="auto"/>
      <w:ind w:left="220" w:firstLine="0" w:firstLineChars="0"/>
      <w:jc w:val="left"/>
    </w:pPr>
    <w:rPr>
      <w:kern w:val="0"/>
      <w:sz w:val="22"/>
    </w:rPr>
  </w:style>
  <w:style w:type="paragraph" w:styleId="25">
    <w:name w:val="toc 9"/>
    <w:basedOn w:val="1"/>
    <w:next w:val="1"/>
    <w:unhideWhenUsed/>
    <w:qFormat/>
    <w:uiPriority w:val="39"/>
    <w:pPr>
      <w:spacing w:line="240" w:lineRule="auto"/>
      <w:ind w:left="3360" w:leftChars="1600" w:firstLine="0" w:firstLineChars="0"/>
    </w:pPr>
    <w:rPr>
      <w:sz w:val="21"/>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Hyperlink"/>
    <w:basedOn w:val="28"/>
    <w:unhideWhenUsed/>
    <w:qFormat/>
    <w:uiPriority w:val="99"/>
    <w:rPr>
      <w:color w:val="0000FF" w:themeColor="hyperlink"/>
      <w:u w:val="single"/>
      <w14:textFill>
        <w14:solidFill>
          <w14:schemeClr w14:val="hlink"/>
        </w14:solidFill>
      </w14:textFill>
    </w:rPr>
  </w:style>
  <w:style w:type="character" w:customStyle="1" w:styleId="30">
    <w:name w:val="标题 1 Char"/>
    <w:basedOn w:val="28"/>
    <w:link w:val="2"/>
    <w:qFormat/>
    <w:uiPriority w:val="9"/>
    <w:rPr>
      <w:b/>
      <w:bCs/>
      <w:kern w:val="44"/>
      <w:sz w:val="44"/>
      <w:szCs w:val="44"/>
    </w:rPr>
  </w:style>
  <w:style w:type="character" w:customStyle="1" w:styleId="31">
    <w:name w:val="标题 2 Char"/>
    <w:basedOn w:val="28"/>
    <w:link w:val="3"/>
    <w:qFormat/>
    <w:uiPriority w:val="9"/>
    <w:rPr>
      <w:rFonts w:asciiTheme="majorHAnsi" w:hAnsiTheme="majorHAnsi" w:eastAsiaTheme="majorEastAsia" w:cstheme="majorBidi"/>
      <w:b/>
      <w:bCs/>
      <w:sz w:val="32"/>
      <w:szCs w:val="32"/>
    </w:rPr>
  </w:style>
  <w:style w:type="character" w:customStyle="1" w:styleId="32">
    <w:name w:val="标题 3 Char"/>
    <w:basedOn w:val="28"/>
    <w:link w:val="4"/>
    <w:semiHidden/>
    <w:qFormat/>
    <w:uiPriority w:val="9"/>
    <w:rPr>
      <w:b/>
      <w:bCs/>
      <w:sz w:val="32"/>
      <w:szCs w:val="32"/>
    </w:rPr>
  </w:style>
  <w:style w:type="character" w:customStyle="1" w:styleId="33">
    <w:name w:val="标题 4 Char"/>
    <w:basedOn w:val="28"/>
    <w:link w:val="5"/>
    <w:semiHidden/>
    <w:qFormat/>
    <w:uiPriority w:val="9"/>
    <w:rPr>
      <w:rFonts w:asciiTheme="majorHAnsi" w:hAnsiTheme="majorHAnsi" w:eastAsiaTheme="majorEastAsia" w:cstheme="majorBidi"/>
      <w:b/>
      <w:bCs/>
      <w:sz w:val="28"/>
      <w:szCs w:val="28"/>
    </w:rPr>
  </w:style>
  <w:style w:type="character" w:customStyle="1" w:styleId="34">
    <w:name w:val="标题 5 Char"/>
    <w:basedOn w:val="28"/>
    <w:link w:val="6"/>
    <w:semiHidden/>
    <w:qFormat/>
    <w:uiPriority w:val="9"/>
    <w:rPr>
      <w:b/>
      <w:bCs/>
      <w:sz w:val="28"/>
      <w:szCs w:val="28"/>
    </w:rPr>
  </w:style>
  <w:style w:type="character" w:customStyle="1" w:styleId="35">
    <w:name w:val="标题 6 Char"/>
    <w:basedOn w:val="28"/>
    <w:link w:val="7"/>
    <w:semiHidden/>
    <w:qFormat/>
    <w:uiPriority w:val="9"/>
    <w:rPr>
      <w:rFonts w:asciiTheme="majorHAnsi" w:hAnsiTheme="majorHAnsi" w:eastAsiaTheme="majorEastAsia" w:cstheme="majorBidi"/>
      <w:b/>
      <w:bCs/>
      <w:sz w:val="24"/>
      <w:szCs w:val="24"/>
    </w:rPr>
  </w:style>
  <w:style w:type="character" w:customStyle="1" w:styleId="36">
    <w:name w:val="标题 7 Char"/>
    <w:basedOn w:val="28"/>
    <w:link w:val="8"/>
    <w:semiHidden/>
    <w:qFormat/>
    <w:uiPriority w:val="9"/>
    <w:rPr>
      <w:b/>
      <w:bCs/>
      <w:sz w:val="24"/>
      <w:szCs w:val="24"/>
    </w:rPr>
  </w:style>
  <w:style w:type="character" w:customStyle="1" w:styleId="37">
    <w:name w:val="标题 8 Char"/>
    <w:basedOn w:val="28"/>
    <w:link w:val="9"/>
    <w:semiHidden/>
    <w:qFormat/>
    <w:uiPriority w:val="9"/>
    <w:rPr>
      <w:rFonts w:asciiTheme="majorHAnsi" w:hAnsiTheme="majorHAnsi" w:eastAsiaTheme="majorEastAsia" w:cstheme="majorBidi"/>
      <w:sz w:val="24"/>
      <w:szCs w:val="24"/>
    </w:rPr>
  </w:style>
  <w:style w:type="character" w:customStyle="1" w:styleId="38">
    <w:name w:val="标题 9 Char"/>
    <w:basedOn w:val="28"/>
    <w:link w:val="10"/>
    <w:semiHidden/>
    <w:qFormat/>
    <w:uiPriority w:val="9"/>
    <w:rPr>
      <w:rFonts w:asciiTheme="majorHAnsi" w:hAnsiTheme="majorHAnsi" w:eastAsiaTheme="majorEastAsia" w:cstheme="majorBidi"/>
      <w:szCs w:val="21"/>
    </w:rPr>
  </w:style>
  <w:style w:type="character" w:customStyle="1" w:styleId="39">
    <w:name w:val="批注框文本 Char"/>
    <w:basedOn w:val="28"/>
    <w:link w:val="18"/>
    <w:semiHidden/>
    <w:qFormat/>
    <w:uiPriority w:val="99"/>
    <w:rPr>
      <w:sz w:val="18"/>
      <w:szCs w:val="18"/>
    </w:rPr>
  </w:style>
  <w:style w:type="character" w:customStyle="1" w:styleId="40">
    <w:name w:val="页脚 Char"/>
    <w:basedOn w:val="28"/>
    <w:link w:val="19"/>
    <w:qFormat/>
    <w:uiPriority w:val="99"/>
    <w:rPr>
      <w:sz w:val="18"/>
      <w:szCs w:val="18"/>
    </w:rPr>
  </w:style>
  <w:style w:type="character" w:customStyle="1" w:styleId="41">
    <w:name w:val="页眉 Char"/>
    <w:basedOn w:val="28"/>
    <w:link w:val="20"/>
    <w:qFormat/>
    <w:uiPriority w:val="99"/>
    <w:rPr>
      <w:sz w:val="18"/>
      <w:szCs w:val="18"/>
    </w:rPr>
  </w:style>
  <w:style w:type="paragraph" w:customStyle="1" w:styleId="42">
    <w:name w:val="00标题1"/>
    <w:basedOn w:val="2"/>
    <w:next w:val="1"/>
    <w:qFormat/>
    <w:uiPriority w:val="0"/>
    <w:pPr>
      <w:numPr>
        <w:ilvl w:val="0"/>
        <w:numId w:val="2"/>
      </w:numPr>
      <w:spacing w:before="160" w:after="160" w:line="360" w:lineRule="auto"/>
      <w:ind w:firstLineChars="0"/>
      <w:jc w:val="left"/>
    </w:pPr>
    <w:rPr>
      <w:rFonts w:ascii="黑体" w:hAnsi="黑体" w:eastAsia="黑体"/>
      <w:sz w:val="36"/>
    </w:rPr>
  </w:style>
  <w:style w:type="paragraph" w:customStyle="1" w:styleId="43">
    <w:name w:val="00标题2"/>
    <w:basedOn w:val="3"/>
    <w:next w:val="1"/>
    <w:qFormat/>
    <w:uiPriority w:val="0"/>
    <w:pPr>
      <w:numPr>
        <w:numId w:val="2"/>
      </w:numPr>
      <w:spacing w:before="0" w:after="0" w:line="240" w:lineRule="auto"/>
      <w:ind w:firstLineChars="0"/>
    </w:pPr>
  </w:style>
  <w:style w:type="paragraph" w:styleId="44">
    <w:name w:val="List Paragraph"/>
    <w:basedOn w:val="1"/>
    <w:qFormat/>
    <w:uiPriority w:val="34"/>
    <w:pPr>
      <w:ind w:firstLine="420"/>
    </w:pPr>
  </w:style>
  <w:style w:type="paragraph" w:customStyle="1" w:styleId="45">
    <w:name w:val="00标题3"/>
    <w:basedOn w:val="4"/>
    <w:next w:val="1"/>
    <w:qFormat/>
    <w:uiPriority w:val="0"/>
    <w:pPr>
      <w:numPr>
        <w:numId w:val="2"/>
      </w:numPr>
      <w:spacing w:line="360" w:lineRule="auto"/>
      <w:ind w:left="0" w:firstLine="0" w:firstLineChars="0"/>
    </w:pPr>
    <w:rPr>
      <w:sz w:val="30"/>
    </w:rPr>
  </w:style>
  <w:style w:type="paragraph" w:customStyle="1" w:styleId="46">
    <w:name w:val="00标题4"/>
    <w:basedOn w:val="5"/>
    <w:next w:val="1"/>
    <w:qFormat/>
    <w:uiPriority w:val="0"/>
    <w:pPr>
      <w:numPr>
        <w:numId w:val="2"/>
      </w:numPr>
      <w:spacing w:line="360" w:lineRule="auto"/>
      <w:ind w:left="0" w:hanging="709" w:hangingChars="295"/>
    </w:pPr>
  </w:style>
  <w:style w:type="paragraph" w:customStyle="1" w:styleId="47">
    <w:name w:val="正文表格"/>
    <w:basedOn w:val="1"/>
    <w:qFormat/>
    <w:uiPriority w:val="0"/>
    <w:pPr>
      <w:spacing w:line="240" w:lineRule="auto"/>
      <w:ind w:firstLine="0" w:firstLineChars="0"/>
    </w:pPr>
  </w:style>
  <w:style w:type="paragraph" w:customStyle="1" w:styleId="48">
    <w:name w:val="列出段落1"/>
    <w:basedOn w:val="1"/>
    <w:qFormat/>
    <w:uiPriority w:val="34"/>
    <w:pPr>
      <w:spacing w:line="240" w:lineRule="auto"/>
      <w:ind w:firstLine="420"/>
    </w:pPr>
    <w:rPr>
      <w:sz w:val="21"/>
    </w:rPr>
  </w:style>
  <w:style w:type="paragraph" w:customStyle="1" w:styleId="49">
    <w:name w:val="可研正文"/>
    <w:basedOn w:val="1"/>
    <w:link w:val="50"/>
    <w:qFormat/>
    <w:uiPriority w:val="0"/>
    <w:pPr>
      <w:adjustRightInd w:val="0"/>
      <w:snapToGrid w:val="0"/>
    </w:pPr>
    <w:rPr>
      <w:rFonts w:ascii="Times New Roman" w:hAnsi="Times New Roman" w:eastAsia="宋体" w:cs="宋体"/>
      <w:szCs w:val="20"/>
    </w:rPr>
  </w:style>
  <w:style w:type="character" w:customStyle="1" w:styleId="50">
    <w:name w:val="可研正文 Char"/>
    <w:link w:val="49"/>
    <w:qFormat/>
    <w:uiPriority w:val="0"/>
    <w:rPr>
      <w:rFonts w:ascii="Times New Roman" w:hAnsi="Times New Roman" w:eastAsia="宋体" w:cs="宋体"/>
      <w:sz w:val="24"/>
      <w:szCs w:val="20"/>
    </w:rPr>
  </w:style>
  <w:style w:type="paragraph" w:customStyle="1" w:styleId="51">
    <w:name w:val="正文-居中"/>
    <w:basedOn w:val="12"/>
    <w:link w:val="52"/>
    <w:qFormat/>
    <w:uiPriority w:val="0"/>
    <w:pPr>
      <w:adjustRightInd w:val="0"/>
      <w:ind w:firstLine="0" w:firstLineChars="0"/>
      <w:jc w:val="center"/>
      <w:textAlignment w:val="baseline"/>
    </w:pPr>
    <w:rPr>
      <w:rFonts w:ascii="Times New Roman" w:hAnsi="Times New Roman" w:eastAsia="宋体" w:cs="Times New Roman"/>
      <w:kern w:val="0"/>
      <w:szCs w:val="20"/>
    </w:rPr>
  </w:style>
  <w:style w:type="character" w:customStyle="1" w:styleId="52">
    <w:name w:val="正文-居中 Char"/>
    <w:link w:val="51"/>
    <w:qFormat/>
    <w:uiPriority w:val="0"/>
    <w:rPr>
      <w:rFonts w:ascii="Times New Roman" w:hAnsi="Times New Roman" w:eastAsia="宋体" w:cs="Times New Roman"/>
      <w:kern w:val="0"/>
      <w:sz w:val="28"/>
      <w:szCs w:val="20"/>
    </w:rPr>
  </w:style>
  <w:style w:type="paragraph" w:customStyle="1" w:styleId="53">
    <w:name w:val="正文 -缩进"/>
    <w:basedOn w:val="12"/>
    <w:link w:val="54"/>
    <w:qFormat/>
    <w:uiPriority w:val="0"/>
    <w:pPr>
      <w:adjustRightInd w:val="0"/>
      <w:ind w:firstLine="560" w:firstLineChars="0"/>
      <w:textAlignment w:val="baseline"/>
    </w:pPr>
    <w:rPr>
      <w:rFonts w:ascii="Times New Roman" w:hAnsi="Times New Roman" w:eastAsia="宋体" w:cs="Times New Roman"/>
      <w:kern w:val="0"/>
      <w:szCs w:val="20"/>
    </w:rPr>
  </w:style>
  <w:style w:type="character" w:customStyle="1" w:styleId="54">
    <w:name w:val="正文 -缩进 Char1"/>
    <w:link w:val="53"/>
    <w:qFormat/>
    <w:uiPriority w:val="0"/>
    <w:rPr>
      <w:rFonts w:ascii="Times New Roman" w:hAnsi="Times New Roman" w:eastAsia="宋体" w:cs="Times New Roman"/>
      <w:kern w:val="0"/>
      <w:sz w:val="28"/>
      <w:szCs w:val="20"/>
    </w:rPr>
  </w:style>
  <w:style w:type="paragraph" w:customStyle="1" w:styleId="55">
    <w:name w:val="正文段落"/>
    <w:basedOn w:val="1"/>
    <w:qFormat/>
    <w:uiPriority w:val="0"/>
    <w:pPr>
      <w:ind w:firstLine="480"/>
    </w:pPr>
    <w:rPr>
      <w:rFonts w:ascii="Times New Roman" w:hAnsi="Times New Roman" w:eastAsia="宋体" w:cs="宋体"/>
      <w:szCs w:val="20"/>
    </w:rPr>
  </w:style>
  <w:style w:type="paragraph" w:customStyle="1" w:styleId="56">
    <w:name w:val="TOC 标题1"/>
    <w:basedOn w:val="2"/>
    <w:next w:val="1"/>
    <w:unhideWhenUsed/>
    <w:qFormat/>
    <w:uiPriority w:val="39"/>
    <w:pPr>
      <w:widowControl/>
      <w:spacing w:before="480" w:after="0" w:line="276" w:lineRule="auto"/>
      <w:ind w:firstLine="0" w:firstLineChars="0"/>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正文文本 Char"/>
    <w:basedOn w:val="28"/>
    <w:link w:val="13"/>
    <w:qFormat/>
    <w:uiPriority w:val="1"/>
    <w:rPr>
      <w:rFonts w:asciiTheme="minorHAnsi" w:hAnsiTheme="minorHAnsi" w:eastAsiaTheme="minorEastAsia" w:cstheme="minorBidi"/>
      <w:kern w:val="2"/>
      <w:sz w:val="21"/>
      <w:szCs w:val="21"/>
    </w:rPr>
  </w:style>
  <w:style w:type="paragraph" w:customStyle="1" w:styleId="58">
    <w:name w:val="Table Paragraph"/>
    <w:basedOn w:val="1"/>
    <w:qFormat/>
    <w:uiPriority w:val="1"/>
    <w:pPr>
      <w:spacing w:line="240" w:lineRule="auto"/>
      <w:ind w:firstLine="0" w:firstLineChars="0"/>
      <w:jc w:val="center"/>
    </w:pPr>
    <w:rPr>
      <w:rFonts w:ascii="Times New Roman" w:hAnsi="Times New Roman" w:eastAsia="Times New Roman" w:cs="Times New Roman"/>
      <w:sz w:val="21"/>
      <w:szCs w:val="24"/>
    </w:rPr>
  </w:style>
  <w:style w:type="table" w:customStyle="1" w:styleId="59">
    <w:name w:val="Table Normal"/>
    <w:semiHidden/>
    <w:unhideWhenUsed/>
    <w:qFormat/>
    <w:uiPriority w:val="2"/>
    <w:rPr>
      <w:rFonts w:ascii="Times New Roman" w:hAnsi="Times New Roman"/>
    </w:rPr>
    <w:tblPr>
      <w:tblCellMar>
        <w:top w:w="0" w:type="dxa"/>
        <w:left w:w="0" w:type="dxa"/>
        <w:bottom w:w="0" w:type="dxa"/>
        <w:right w:w="0" w:type="dxa"/>
      </w:tblCellMar>
    </w:tblPr>
  </w:style>
  <w:style w:type="character" w:customStyle="1" w:styleId="60">
    <w:name w:val="正文文本缩进 2 Char"/>
    <w:basedOn w:val="28"/>
    <w:link w:val="17"/>
    <w:semiHidden/>
    <w:qFormat/>
    <w:uiPriority w:val="99"/>
    <w:rPr>
      <w:rFonts w:asciiTheme="minorHAnsi" w:hAnsiTheme="minorHAnsi" w:eastAsiaTheme="minorEastAsia" w:cstheme="minorBidi"/>
      <w:kern w:val="2"/>
      <w:sz w:val="21"/>
      <w:szCs w:val="22"/>
    </w:rPr>
  </w:style>
  <w:style w:type="character" w:customStyle="1" w:styleId="61">
    <w:name w:val="正文1 字符"/>
    <w:link w:val="62"/>
    <w:qFormat/>
    <w:uiPriority w:val="0"/>
    <w:rPr>
      <w:rFonts w:eastAsia="Adobe 楷体 Std R"/>
      <w:sz w:val="24"/>
    </w:rPr>
  </w:style>
  <w:style w:type="paragraph" w:customStyle="1" w:styleId="62">
    <w:name w:val="正文1"/>
    <w:basedOn w:val="12"/>
    <w:link w:val="61"/>
    <w:qFormat/>
    <w:uiPriority w:val="0"/>
    <w:pPr>
      <w:spacing w:line="240" w:lineRule="atLeast"/>
      <w:ind w:firstLine="480"/>
      <w:jc w:val="left"/>
    </w:pPr>
    <w:rPr>
      <w:rFonts w:ascii="Calibri" w:hAnsi="Calibri" w:eastAsia="Adobe 楷体 Std R" w:cs="Times New Roman"/>
      <w:kern w:val="0"/>
      <w:szCs w:val="20"/>
    </w:rPr>
  </w:style>
  <w:style w:type="character" w:customStyle="1" w:styleId="63">
    <w:name w:val="MSG_EN_FONT_STYLE_NAME_TEMPLATE_ROLE MSG_EN_FONT_STYLE_NAME_BY_ROLE_TEXT|2 + MSG_EN_FONT_STYLE_MODIFER_NAME Times New Roman"/>
    <w:qFormat/>
    <w:uiPriority w:val="0"/>
    <w:rPr>
      <w:rFonts w:ascii="Times New Roman" w:hAnsi="Times New Roman" w:eastAsia="Times New Roman" w:cs="Times New Roman"/>
      <w:color w:val="000000"/>
      <w:spacing w:val="0"/>
      <w:w w:val="100"/>
      <w:position w:val="0"/>
      <w:sz w:val="19"/>
      <w:szCs w:val="19"/>
      <w:u w:val="none"/>
      <w:lang w:val="zh-CN" w:eastAsia="zh-CN" w:bidi="zh-CN"/>
    </w:rPr>
  </w:style>
  <w:style w:type="character" w:customStyle="1" w:styleId="64">
    <w:name w:val="MSG_EN_FONT_STYLE_NAME_TEMPLATE_ROLE MSG_EN_FONT_STYLE_NAME_BY_ROLE_TEXT|2_"/>
    <w:link w:val="65"/>
    <w:qFormat/>
    <w:uiPriority w:val="0"/>
    <w:rPr>
      <w:rFonts w:ascii="宋体" w:hAnsi="宋体" w:cs="宋体"/>
      <w:sz w:val="21"/>
      <w:szCs w:val="21"/>
      <w:shd w:val="clear" w:color="auto" w:fill="FFFFFF"/>
    </w:rPr>
  </w:style>
  <w:style w:type="paragraph" w:customStyle="1" w:styleId="65">
    <w:name w:val="MSG_EN_FONT_STYLE_NAME_TEMPLATE_ROLE MSG_EN_FONT_STYLE_NAME_BY_ROLE_TEXT|2"/>
    <w:basedOn w:val="1"/>
    <w:link w:val="64"/>
    <w:qFormat/>
    <w:uiPriority w:val="0"/>
    <w:pPr>
      <w:shd w:val="clear" w:color="auto" w:fill="FFFFFF"/>
      <w:spacing w:line="466" w:lineRule="exact"/>
      <w:ind w:firstLine="0" w:firstLineChars="0"/>
      <w:jc w:val="distribute"/>
    </w:pPr>
    <w:rPr>
      <w:rFonts w:ascii="宋体" w:hAnsi="宋体" w:eastAsia="宋体" w:cs="宋体"/>
      <w:kern w:val="0"/>
      <w:sz w:val="21"/>
      <w:szCs w:val="21"/>
    </w:rPr>
  </w:style>
  <w:style w:type="character" w:customStyle="1" w:styleId="66">
    <w:name w:val="MSG_EN_FONT_STYLE_NAME_TEMPLATE_ROLE MSG_EN_FONT_STYLE_NAME_BY_ROLE_TEXT|2 + MSG_EN_FONT_STYLE_MODIFER_SIZE 8.5"/>
    <w:qFormat/>
    <w:uiPriority w:val="0"/>
    <w:rPr>
      <w:rFonts w:ascii="宋体" w:hAnsi="宋体" w:eastAsia="宋体" w:cs="宋体"/>
      <w:b/>
      <w:bCs/>
      <w:color w:val="2A2832"/>
      <w:spacing w:val="0"/>
      <w:w w:val="100"/>
      <w:position w:val="0"/>
      <w:sz w:val="17"/>
      <w:szCs w:val="17"/>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5" Type="http://schemas.openxmlformats.org/officeDocument/2006/relationships/image" Target="media/image5.png"/><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6FD1-2FA2-495B-B071-A048ECD4434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4823</Words>
  <Characters>5610</Characters>
  <Lines>93</Lines>
  <Paragraphs>26</Paragraphs>
  <TotalTime>1153</TotalTime>
  <ScaleCrop>false</ScaleCrop>
  <LinksUpToDate>false</LinksUpToDate>
  <CharactersWithSpaces>5721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2020-03-31T11:43:00Z</dcterms:created>
  <dc:creator>Administrator</dc:creator>
  <cp:lastModifiedBy>CC温 啟 贤</cp:lastModifiedBy>
  <cp:lastPrinted>2023-08-19T10:21:08Z</cp:lastPrinted>
  <dcterms:modified xsi:type="dcterms:W3CDTF">2023-08-19T13:16:33Z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EF6113D748314C7D8F928ABD1E57CF82_12</vt:lpwstr>
  </property>
</Properties>
</file>